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95920" w14:textId="14143E0F" w:rsidR="00F340B7" w:rsidRPr="004A1A26" w:rsidRDefault="00B477F5" w:rsidP="00ED1714">
      <w:pPr>
        <w:pStyle w:val="Heading1"/>
      </w:pPr>
      <w:r w:rsidRPr="004A1A26">
        <w:t>Air Policy</w:t>
      </w:r>
    </w:p>
    <w:p w14:paraId="4C6D03E8" w14:textId="679D7A46" w:rsidR="00F340B7" w:rsidRPr="004A1A26" w:rsidRDefault="00F32F98" w:rsidP="00B477F5">
      <w:r w:rsidRPr="004A1A26">
        <w:rPr>
          <w:b/>
        </w:rPr>
        <w:t>Coordinating Lead Author:</w:t>
      </w:r>
      <w:r w:rsidRPr="004A1A26">
        <w:t xml:space="preserve"> Peter King (Institute for Global Environmental Strategies)</w:t>
      </w:r>
    </w:p>
    <w:p w14:paraId="0D3BA89C" w14:textId="2FAE1266" w:rsidR="00F340B7" w:rsidRPr="004A1A26" w:rsidRDefault="00F32F98" w:rsidP="00B477F5">
      <w:r w:rsidRPr="004A1A26">
        <w:rPr>
          <w:b/>
        </w:rPr>
        <w:t>Lead Authors:</w:t>
      </w:r>
      <w:r w:rsidR="00FA3477">
        <w:rPr>
          <w:b/>
        </w:rPr>
        <w:t xml:space="preserve"> </w:t>
      </w:r>
      <w:r w:rsidR="00370575" w:rsidRPr="004A1A26">
        <w:t xml:space="preserve">Frederick </w:t>
      </w:r>
      <w:proofErr w:type="spellStart"/>
      <w:r w:rsidR="00370575" w:rsidRPr="004A1A26">
        <w:t>Ato</w:t>
      </w:r>
      <w:proofErr w:type="spellEnd"/>
      <w:r w:rsidR="00370575" w:rsidRPr="004A1A26">
        <w:t xml:space="preserve"> Armah (University of Cape Coast), </w:t>
      </w:r>
      <w:r w:rsidR="006C01AF" w:rsidRPr="004A1A26">
        <w:t>Phillip Dickerson (U</w:t>
      </w:r>
      <w:r w:rsidR="006C01AF">
        <w:t xml:space="preserve">nited </w:t>
      </w:r>
      <w:r w:rsidR="006C01AF" w:rsidRPr="004A1A26">
        <w:t>S</w:t>
      </w:r>
      <w:r w:rsidR="006C01AF">
        <w:t>tates</w:t>
      </w:r>
      <w:r w:rsidR="006C01AF" w:rsidRPr="004A1A26">
        <w:t xml:space="preserve"> E</w:t>
      </w:r>
      <w:r w:rsidR="006C01AF">
        <w:t xml:space="preserve">nvironmental </w:t>
      </w:r>
      <w:r w:rsidR="006C01AF" w:rsidRPr="004A1A26">
        <w:t>P</w:t>
      </w:r>
      <w:r w:rsidR="006C01AF">
        <w:t xml:space="preserve">rotection </w:t>
      </w:r>
      <w:r w:rsidR="006C01AF" w:rsidRPr="004A1A26">
        <w:t>A</w:t>
      </w:r>
      <w:r w:rsidR="006C01AF">
        <w:t>gency</w:t>
      </w:r>
      <w:r w:rsidR="006C01AF" w:rsidRPr="004A1A26">
        <w:t>)</w:t>
      </w:r>
      <w:r w:rsidR="006C01AF">
        <w:t xml:space="preserve">, </w:t>
      </w:r>
      <w:r w:rsidR="006C01AF" w:rsidRPr="004A1A26">
        <w:t xml:space="preserve">Cristina </w:t>
      </w:r>
      <w:proofErr w:type="spellStart"/>
      <w:r w:rsidR="006C01AF" w:rsidRPr="004A1A26">
        <w:t>Guerreiro</w:t>
      </w:r>
      <w:proofErr w:type="spellEnd"/>
      <w:r w:rsidR="006C01AF" w:rsidRPr="004A1A26">
        <w:t xml:space="preserve"> (Norwegian Institute for Air Research)</w:t>
      </w:r>
      <w:r w:rsidR="006C01AF">
        <w:t xml:space="preserve">, </w:t>
      </w:r>
      <w:r w:rsidR="006C01AF" w:rsidRPr="004A1A26">
        <w:t>Terry Keating (U</w:t>
      </w:r>
      <w:r w:rsidR="006C01AF">
        <w:t xml:space="preserve">nited </w:t>
      </w:r>
      <w:r w:rsidR="006C01AF" w:rsidRPr="004A1A26">
        <w:t>S</w:t>
      </w:r>
      <w:r w:rsidR="006C01AF">
        <w:t>tates</w:t>
      </w:r>
      <w:r w:rsidR="006C01AF" w:rsidRPr="004A1A26">
        <w:t xml:space="preserve"> E</w:t>
      </w:r>
      <w:r w:rsidR="006C01AF">
        <w:t xml:space="preserve">nvironmental </w:t>
      </w:r>
      <w:r w:rsidR="006C01AF" w:rsidRPr="004A1A26">
        <w:t>P</w:t>
      </w:r>
      <w:r w:rsidR="006C01AF">
        <w:t xml:space="preserve">rotection </w:t>
      </w:r>
      <w:r w:rsidR="006C01AF" w:rsidRPr="004A1A26">
        <w:t>A</w:t>
      </w:r>
      <w:r w:rsidR="006C01AF">
        <w:t>gency</w:t>
      </w:r>
      <w:r w:rsidR="006C01AF" w:rsidRPr="004A1A26">
        <w:t>)</w:t>
      </w:r>
      <w:r w:rsidR="006C01AF">
        <w:t xml:space="preserve">, </w:t>
      </w:r>
      <w:r w:rsidR="006C01AF" w:rsidRPr="004A1A26">
        <w:t xml:space="preserve">Oswaldo dos Santos </w:t>
      </w:r>
      <w:proofErr w:type="spellStart"/>
      <w:r w:rsidR="006C01AF" w:rsidRPr="004A1A26">
        <w:t>Lucon</w:t>
      </w:r>
      <w:proofErr w:type="spellEnd"/>
      <w:r w:rsidR="006C01AF" w:rsidRPr="004A1A26">
        <w:t xml:space="preserve"> (São Paulo State Environment Secretariat</w:t>
      </w:r>
      <w:r w:rsidR="006C01AF">
        <w:t>, Brazil</w:t>
      </w:r>
      <w:r w:rsidR="006C01AF" w:rsidRPr="004A1A26">
        <w:t>)</w:t>
      </w:r>
      <w:r w:rsidR="006C01AF">
        <w:t xml:space="preserve">, </w:t>
      </w:r>
      <w:proofErr w:type="spellStart"/>
      <w:r w:rsidR="00960CC0" w:rsidRPr="004A1A26">
        <w:t>Asami</w:t>
      </w:r>
      <w:proofErr w:type="spellEnd"/>
      <w:r w:rsidR="00960CC0" w:rsidRPr="004A1A26">
        <w:t xml:space="preserve"> Miyazaki</w:t>
      </w:r>
      <w:r w:rsidR="00370575" w:rsidRPr="004A1A26">
        <w:t xml:space="preserve"> (Kumamoto </w:t>
      </w:r>
      <w:proofErr w:type="spellStart"/>
      <w:r w:rsidR="00370575" w:rsidRPr="004A1A26">
        <w:t>Gakuen</w:t>
      </w:r>
      <w:proofErr w:type="spellEnd"/>
      <w:r w:rsidR="00370575" w:rsidRPr="004A1A26">
        <w:t xml:space="preserve"> University), </w:t>
      </w:r>
      <w:r w:rsidR="006C01AF" w:rsidRPr="004A1A26">
        <w:t>Amit Patel (Planned Systems International, Inc.)</w:t>
      </w:r>
      <w:r w:rsidR="006C01AF">
        <w:t xml:space="preserve">, </w:t>
      </w:r>
      <w:r w:rsidR="00370575" w:rsidRPr="004A1A26">
        <w:t>Stefan Reis (Centre for Ecol</w:t>
      </w:r>
      <w:r w:rsidR="00F340B7" w:rsidRPr="004A1A26">
        <w:t>ogy</w:t>
      </w:r>
      <w:r w:rsidR="00370575" w:rsidRPr="004A1A26">
        <w:t xml:space="preserve"> and Hydrol</w:t>
      </w:r>
      <w:r w:rsidR="00F340B7" w:rsidRPr="004A1A26">
        <w:t>ogy</w:t>
      </w:r>
      <w:r w:rsidR="00370575" w:rsidRPr="004A1A26">
        <w:t>, Natural Environment Research Council,)</w:t>
      </w:r>
    </w:p>
    <w:p w14:paraId="44C02D88" w14:textId="75EAAC74" w:rsidR="00F340B7" w:rsidRPr="004A1A26" w:rsidRDefault="006507E9" w:rsidP="00B477F5">
      <w:pPr>
        <w:rPr>
          <w:lang w:val="fr-FR"/>
        </w:rPr>
      </w:pPr>
      <w:r>
        <w:rPr>
          <w:b/>
          <w:lang w:val="fr-FR"/>
        </w:rPr>
        <w:t xml:space="preserve">GEO </w:t>
      </w:r>
      <w:proofErr w:type="spellStart"/>
      <w:proofErr w:type="gramStart"/>
      <w:r w:rsidR="00923B0D">
        <w:rPr>
          <w:b/>
          <w:lang w:val="fr-FR"/>
        </w:rPr>
        <w:t>Fellow</w:t>
      </w:r>
      <w:proofErr w:type="spellEnd"/>
      <w:r w:rsidR="00923B0D" w:rsidRPr="004A1A26">
        <w:rPr>
          <w:b/>
          <w:lang w:val="fr-FR"/>
        </w:rPr>
        <w:t>:</w:t>
      </w:r>
      <w:proofErr w:type="gramEnd"/>
      <w:r w:rsidR="00F32F98" w:rsidRPr="004A1A26">
        <w:rPr>
          <w:lang w:val="fr-FR"/>
        </w:rPr>
        <w:t xml:space="preserve"> </w:t>
      </w:r>
      <w:proofErr w:type="spellStart"/>
      <w:r w:rsidR="00F32F98" w:rsidRPr="004A1A26">
        <w:rPr>
          <w:lang w:val="fr-FR"/>
        </w:rPr>
        <w:t>Kari</w:t>
      </w:r>
      <w:proofErr w:type="spellEnd"/>
      <w:r w:rsidR="00F32F98" w:rsidRPr="004A1A26">
        <w:rPr>
          <w:lang w:val="fr-FR"/>
        </w:rPr>
        <w:t xml:space="preserve"> </w:t>
      </w:r>
      <w:proofErr w:type="spellStart"/>
      <w:r w:rsidR="00F32F98" w:rsidRPr="004A1A26">
        <w:rPr>
          <w:lang w:val="fr-FR"/>
        </w:rPr>
        <w:t>DePryck</w:t>
      </w:r>
      <w:proofErr w:type="spellEnd"/>
      <w:r w:rsidR="00F32F98" w:rsidRPr="004A1A26">
        <w:rPr>
          <w:lang w:val="fr-FR"/>
        </w:rPr>
        <w:t xml:space="preserve"> (Institut</w:t>
      </w:r>
      <w:r w:rsidR="00C76876">
        <w:rPr>
          <w:lang w:val="fr-FR"/>
        </w:rPr>
        <w:t xml:space="preserve"> </w:t>
      </w:r>
      <w:r w:rsidR="00F32F98" w:rsidRPr="004A1A26">
        <w:rPr>
          <w:lang w:val="fr-FR"/>
        </w:rPr>
        <w:t>d</w:t>
      </w:r>
      <w:r w:rsidR="00F340B7" w:rsidRPr="004A1A26">
        <w:rPr>
          <w:lang w:val="fr-FR"/>
        </w:rPr>
        <w:t>’</w:t>
      </w:r>
      <w:proofErr w:type="spellStart"/>
      <w:r w:rsidR="00F32F98" w:rsidRPr="004A1A26">
        <w:rPr>
          <w:lang w:val="fr-FR"/>
        </w:rPr>
        <w:t>etudes</w:t>
      </w:r>
      <w:proofErr w:type="spellEnd"/>
      <w:r w:rsidR="00C76876">
        <w:rPr>
          <w:lang w:val="fr-FR"/>
        </w:rPr>
        <w:t xml:space="preserve"> </w:t>
      </w:r>
      <w:r w:rsidR="00F32F98" w:rsidRPr="004A1A26">
        <w:rPr>
          <w:lang w:val="fr-FR"/>
        </w:rPr>
        <w:t>politiques de Paris)</w:t>
      </w:r>
    </w:p>
    <w:p w14:paraId="1B9F917A" w14:textId="77777777" w:rsidR="00F340B7" w:rsidRPr="004A1A26" w:rsidRDefault="00F32F98" w:rsidP="00375A5D">
      <w:pPr>
        <w:pStyle w:val="Heading4"/>
      </w:pPr>
      <w:bookmarkStart w:id="0" w:name="_gjdgxs" w:colFirst="0" w:colLast="0"/>
      <w:bookmarkStart w:id="1" w:name="_Toc516842461"/>
      <w:bookmarkEnd w:id="0"/>
      <w:r w:rsidRPr="004A1A26">
        <w:t xml:space="preserve">Executive </w:t>
      </w:r>
      <w:r w:rsidR="00920E4F" w:rsidRPr="004A1A26">
        <w:t>s</w:t>
      </w:r>
      <w:r w:rsidRPr="004A1A26">
        <w:t>ummary</w:t>
      </w:r>
      <w:bookmarkEnd w:id="1"/>
    </w:p>
    <w:p w14:paraId="539CAB58" w14:textId="516C500E" w:rsidR="00F340B7" w:rsidRPr="004A1A26" w:rsidRDefault="00F32F98" w:rsidP="00B477F5">
      <w:r w:rsidRPr="004A1A26">
        <w:rPr>
          <w:b/>
        </w:rPr>
        <w:t>Institutional capacity to manage air pollution, climate change, stratospheric ozone depletion and persistent bio</w:t>
      </w:r>
      <w:r w:rsidR="00F06449" w:rsidRPr="004A1A26">
        <w:rPr>
          <w:b/>
        </w:rPr>
        <w:t>-</w:t>
      </w:r>
      <w:r w:rsidRPr="004A1A26">
        <w:rPr>
          <w:b/>
        </w:rPr>
        <w:t>accumulative toxic substances varies significantly across the world.</w:t>
      </w:r>
      <w:r w:rsidRPr="004A1A26">
        <w:t xml:space="preserve"> </w:t>
      </w:r>
      <w:r w:rsidR="008A4F83" w:rsidRPr="004A1A26">
        <w:t>(</w:t>
      </w:r>
      <w:r w:rsidR="008A4F83" w:rsidRPr="004A1A26">
        <w:rPr>
          <w:i/>
        </w:rPr>
        <w:t>well established</w:t>
      </w:r>
      <w:r w:rsidR="008A4F83" w:rsidRPr="004A1A26">
        <w:t>)</w:t>
      </w:r>
      <w:r w:rsidR="0032172C">
        <w:t xml:space="preserve"> </w:t>
      </w:r>
      <w:r w:rsidRPr="004A1A26">
        <w:t xml:space="preserve">In some regions and countries </w:t>
      </w:r>
      <w:r w:rsidR="00F340B7" w:rsidRPr="004A1A26">
        <w:t>(e.g.</w:t>
      </w:r>
      <w:r w:rsidRPr="004A1A26">
        <w:t xml:space="preserve"> North America, </w:t>
      </w:r>
      <w:r w:rsidR="00F340B7" w:rsidRPr="004A1A26">
        <w:t>West</w:t>
      </w:r>
      <w:r w:rsidRPr="004A1A26">
        <w:t xml:space="preserve">ern Europe, </w:t>
      </w:r>
      <w:r w:rsidR="00F340B7" w:rsidRPr="004A1A26">
        <w:t>East</w:t>
      </w:r>
      <w:r w:rsidRPr="004A1A26">
        <w:t xml:space="preserve"> Asia), there are </w:t>
      </w:r>
      <w:r w:rsidR="00F340B7" w:rsidRPr="004A1A26">
        <w:t>well</w:t>
      </w:r>
      <w:r w:rsidRPr="004A1A26">
        <w:t xml:space="preserve">-developed federated systems of national, provincial and local policies and enforcement </w:t>
      </w:r>
      <w:r w:rsidR="00F340B7" w:rsidRPr="004A1A26">
        <w:t>programmes</w:t>
      </w:r>
      <w:r w:rsidRPr="004A1A26">
        <w:t xml:space="preserve">. In other regions, international agreements or national legislation may exist, but implementation and enforcement are weak due to a lack of institutional capacity at the national or </w:t>
      </w:r>
      <w:r w:rsidR="00F340B7" w:rsidRPr="004A1A26">
        <w:t>sub</w:t>
      </w:r>
      <w:r w:rsidRPr="004A1A26">
        <w:t>national scale (</w:t>
      </w:r>
      <w:r w:rsidRPr="004A1A26">
        <w:rPr>
          <w:i/>
        </w:rPr>
        <w:t>established but incomplete</w:t>
      </w:r>
      <w:r w:rsidRPr="004A1A26">
        <w:t xml:space="preserve">). In some regions, city governments are leading the way with benefits for other parts of their </w:t>
      </w:r>
      <w:r w:rsidR="006C01AF" w:rsidRPr="004A1A26">
        <w:t>countries {</w:t>
      </w:r>
      <w:r w:rsidR="00BB7616" w:rsidRPr="004A1A26">
        <w:t>5.</w:t>
      </w:r>
      <w:r w:rsidR="00382829">
        <w:t>5</w:t>
      </w:r>
      <w:r w:rsidR="00982FC1" w:rsidRPr="004A1A26">
        <w:t>, 12</w:t>
      </w:r>
      <w:r w:rsidR="00071A13">
        <w:t>.2</w:t>
      </w:r>
      <w:r w:rsidR="00982FC1" w:rsidRPr="004A1A26">
        <w:t>}</w:t>
      </w:r>
      <w:r w:rsidR="00920E4F" w:rsidRPr="004A1A26">
        <w:t>.</w:t>
      </w:r>
    </w:p>
    <w:p w14:paraId="3C662762" w14:textId="2E0814B0" w:rsidR="00F340B7" w:rsidRPr="004A1A26" w:rsidRDefault="00F32F98" w:rsidP="00B477F5">
      <w:bookmarkStart w:id="2" w:name="_Hlk528922284"/>
      <w:r w:rsidRPr="004A1A26">
        <w:rPr>
          <w:b/>
        </w:rPr>
        <w:t>Different investments are needed to improve management capacity in different regions</w:t>
      </w:r>
      <w:r w:rsidRPr="004A1A26">
        <w:t>. For example, the GEO-6 regional assessments identified improving air quality monitoring infrastructure as a priority for Africa and Latin America and improving the use of benefit</w:t>
      </w:r>
      <w:r w:rsidR="00920E4F" w:rsidRPr="004A1A26">
        <w:t>–</w:t>
      </w:r>
      <w:r w:rsidRPr="004A1A26">
        <w:t xml:space="preserve">cost analyses of </w:t>
      </w:r>
      <w:r w:rsidR="00982FC1" w:rsidRPr="004A1A26">
        <w:t xml:space="preserve">climate change and air pollution </w:t>
      </w:r>
      <w:r w:rsidRPr="004A1A26">
        <w:t xml:space="preserve">mitigation measures as a priority </w:t>
      </w:r>
      <w:r w:rsidR="00920E4F" w:rsidRPr="004A1A26">
        <w:t xml:space="preserve">for </w:t>
      </w:r>
      <w:r w:rsidRPr="004A1A26">
        <w:t>Asia and the Pacific</w:t>
      </w:r>
      <w:r w:rsidR="00982FC1" w:rsidRPr="004A1A26">
        <w:t xml:space="preserve"> {5.1}</w:t>
      </w:r>
      <w:r w:rsidRPr="004A1A26">
        <w:t>.</w:t>
      </w:r>
    </w:p>
    <w:bookmarkEnd w:id="2"/>
    <w:p w14:paraId="3601C154" w14:textId="7CAA2B2F" w:rsidR="00F340B7" w:rsidRPr="004A1A26" w:rsidRDefault="00F32F98" w:rsidP="00B477F5">
      <w:r w:rsidRPr="004A1A26">
        <w:rPr>
          <w:b/>
        </w:rPr>
        <w:t xml:space="preserve">Traditional regulatory approaches, including the use of </w:t>
      </w:r>
      <w:r w:rsidR="00F340B7" w:rsidRPr="004A1A26">
        <w:rPr>
          <w:b/>
        </w:rPr>
        <w:t>emission</w:t>
      </w:r>
      <w:r w:rsidRPr="004A1A26">
        <w:rPr>
          <w:b/>
        </w:rPr>
        <w:t>s and technol</w:t>
      </w:r>
      <w:r w:rsidR="00F340B7" w:rsidRPr="004A1A26">
        <w:rPr>
          <w:b/>
        </w:rPr>
        <w:t>ogy</w:t>
      </w:r>
      <w:r w:rsidRPr="004A1A26">
        <w:rPr>
          <w:b/>
        </w:rPr>
        <w:t xml:space="preserve"> standards, have been successful in addressing some pollution sources</w:t>
      </w:r>
      <w:r w:rsidR="003B26DD">
        <w:rPr>
          <w:b/>
        </w:rPr>
        <w:t xml:space="preserve"> </w:t>
      </w:r>
      <w:r w:rsidR="003B26DD" w:rsidRPr="004A1A26">
        <w:t>(</w:t>
      </w:r>
      <w:r w:rsidR="003B26DD" w:rsidRPr="004A1A26">
        <w:rPr>
          <w:i/>
        </w:rPr>
        <w:t>established but incomplete</w:t>
      </w:r>
      <w:r w:rsidR="003B26DD" w:rsidRPr="004A1A26">
        <w:t>)</w:t>
      </w:r>
      <w:r w:rsidRPr="004A1A26">
        <w:rPr>
          <w:b/>
        </w:rPr>
        <w:t>.</w:t>
      </w:r>
      <w:r w:rsidRPr="004A1A26">
        <w:t xml:space="preserve"> Successes are evident in declining trends in </w:t>
      </w:r>
      <w:r w:rsidR="00F340B7" w:rsidRPr="004A1A26">
        <w:t>emission</w:t>
      </w:r>
      <w:r w:rsidRPr="004A1A26">
        <w:t xml:space="preserve">s and increasing trends in economic activity and production. However, such approaches rely on </w:t>
      </w:r>
      <w:r w:rsidR="00982FC1" w:rsidRPr="004A1A26">
        <w:t xml:space="preserve">adequate human resources and </w:t>
      </w:r>
      <w:r w:rsidRPr="004A1A26">
        <w:t xml:space="preserve">effective enforcement and legal systems, which </w:t>
      </w:r>
      <w:r w:rsidR="003A008C" w:rsidRPr="004A1A26">
        <w:t xml:space="preserve">may </w:t>
      </w:r>
      <w:r w:rsidRPr="004A1A26">
        <w:t xml:space="preserve">not </w:t>
      </w:r>
      <w:r w:rsidR="006C01AF" w:rsidRPr="004A1A26">
        <w:t>exist {</w:t>
      </w:r>
      <w:r w:rsidR="00B81F50" w:rsidRPr="004A1A26">
        <w:t>1</w:t>
      </w:r>
      <w:r w:rsidR="00F34251" w:rsidRPr="004A1A26">
        <w:t>2</w:t>
      </w:r>
      <w:r w:rsidRPr="004A1A26">
        <w:t>.</w:t>
      </w:r>
      <w:r w:rsidR="00071A13">
        <w:t>2</w:t>
      </w:r>
      <w:r w:rsidR="00A41281" w:rsidRPr="004A1A26">
        <w:t>.1</w:t>
      </w:r>
      <w:r w:rsidRPr="004A1A26">
        <w:t xml:space="preserve">, </w:t>
      </w:r>
      <w:r w:rsidR="00B81F50" w:rsidRPr="004A1A26">
        <w:t>1</w:t>
      </w:r>
      <w:r w:rsidR="00F34251" w:rsidRPr="004A1A26">
        <w:t>2</w:t>
      </w:r>
      <w:r w:rsidRPr="004A1A26">
        <w:t>.</w:t>
      </w:r>
      <w:r w:rsidR="00071A13">
        <w:t>2</w:t>
      </w:r>
      <w:r w:rsidR="00A41281" w:rsidRPr="004A1A26">
        <w:t>.</w:t>
      </w:r>
      <w:r w:rsidRPr="004A1A26">
        <w:t>2</w:t>
      </w:r>
      <w:r w:rsidR="00982FC1" w:rsidRPr="004A1A26">
        <w:t>}</w:t>
      </w:r>
      <w:r w:rsidR="00920E4F" w:rsidRPr="004A1A26">
        <w:t>.</w:t>
      </w:r>
    </w:p>
    <w:p w14:paraId="7C628E7A" w14:textId="4A4C412A" w:rsidR="00F340B7" w:rsidRPr="004A1A26" w:rsidRDefault="00982FC1" w:rsidP="00B477F5">
      <w:r w:rsidRPr="004A1A26">
        <w:rPr>
          <w:b/>
        </w:rPr>
        <w:t xml:space="preserve">There is no single global agreement addressing air pollution, but there is a patchwork of regional intergovernmental agreements and </w:t>
      </w:r>
      <w:r w:rsidR="00920E4F" w:rsidRPr="004A1A26">
        <w:rPr>
          <w:b/>
        </w:rPr>
        <w:t xml:space="preserve">initiatives focused on </w:t>
      </w:r>
      <w:r w:rsidRPr="004A1A26">
        <w:rPr>
          <w:b/>
        </w:rPr>
        <w:t>public</w:t>
      </w:r>
      <w:r w:rsidR="00920E4F" w:rsidRPr="004A1A26">
        <w:rPr>
          <w:b/>
        </w:rPr>
        <w:t>–</w:t>
      </w:r>
      <w:r w:rsidRPr="004A1A26">
        <w:rPr>
          <w:b/>
        </w:rPr>
        <w:t xml:space="preserve">private </w:t>
      </w:r>
      <w:r w:rsidR="00920E4F" w:rsidRPr="004A1A26">
        <w:rPr>
          <w:b/>
        </w:rPr>
        <w:t>partnerships</w:t>
      </w:r>
      <w:r w:rsidR="003B26DD">
        <w:rPr>
          <w:b/>
        </w:rPr>
        <w:t xml:space="preserve"> </w:t>
      </w:r>
      <w:r w:rsidR="003B26DD" w:rsidRPr="004A1A26">
        <w:t>(</w:t>
      </w:r>
      <w:r w:rsidR="003B26DD" w:rsidRPr="004A1A26">
        <w:rPr>
          <w:i/>
        </w:rPr>
        <w:t>unresolved</w:t>
      </w:r>
      <w:r w:rsidR="003B26DD" w:rsidRPr="004A1A26">
        <w:t>)</w:t>
      </w:r>
      <w:r w:rsidRPr="004A1A26">
        <w:rPr>
          <w:b/>
        </w:rPr>
        <w:t>.</w:t>
      </w:r>
      <w:r w:rsidR="003B26DD">
        <w:rPr>
          <w:b/>
        </w:rPr>
        <w:t xml:space="preserve"> </w:t>
      </w:r>
      <w:r w:rsidR="00F32F98" w:rsidRPr="004A1A26">
        <w:t>Global agreements have been adopted to address climate change, stratospheric O</w:t>
      </w:r>
      <w:r w:rsidR="00F32F98" w:rsidRPr="004A1A26">
        <w:rPr>
          <w:vertAlign w:val="subscript"/>
        </w:rPr>
        <w:t>3</w:t>
      </w:r>
      <w:r w:rsidR="00F32F98" w:rsidRPr="004A1A26">
        <w:t xml:space="preserve"> depletion, persistent organic pollutants, and mercury </w:t>
      </w:r>
      <w:r w:rsidRPr="004A1A26">
        <w:t>{</w:t>
      </w:r>
      <w:r w:rsidR="00BB7616" w:rsidRPr="004A1A26">
        <w:t>5.</w:t>
      </w:r>
      <w:r w:rsidR="00071A13">
        <w:t>5</w:t>
      </w:r>
      <w:r w:rsidR="00F32F98" w:rsidRPr="004A1A26">
        <w:t xml:space="preserve">, </w:t>
      </w:r>
      <w:r w:rsidR="00B81F50" w:rsidRPr="004A1A26">
        <w:t>1</w:t>
      </w:r>
      <w:r w:rsidR="00F34251" w:rsidRPr="004A1A26">
        <w:t>2</w:t>
      </w:r>
      <w:r w:rsidR="00F32F98" w:rsidRPr="004A1A26">
        <w:t>.</w:t>
      </w:r>
      <w:r w:rsidR="00071A13">
        <w:t>2</w:t>
      </w:r>
      <w:r w:rsidR="00A41281" w:rsidRPr="004A1A26">
        <w:t>.</w:t>
      </w:r>
      <w:r w:rsidR="00F32F98" w:rsidRPr="004A1A26">
        <w:t>5</w:t>
      </w:r>
      <w:r w:rsidRPr="004A1A26">
        <w:t>}</w:t>
      </w:r>
      <w:r w:rsidR="00920E4F" w:rsidRPr="004A1A26">
        <w:t>.</w:t>
      </w:r>
    </w:p>
    <w:p w14:paraId="6C00CBCA" w14:textId="6EF51419" w:rsidR="00F340B7" w:rsidRPr="004A1A26" w:rsidRDefault="00195E16" w:rsidP="00B477F5">
      <w:r w:rsidRPr="004A1A26">
        <w:rPr>
          <w:b/>
        </w:rPr>
        <w:t xml:space="preserve">National commitments on climate change under the </w:t>
      </w:r>
      <w:r w:rsidR="00920E4F" w:rsidRPr="004A1A26">
        <w:rPr>
          <w:b/>
        </w:rPr>
        <w:t>United Nations Framework Convention on Climate Change (</w:t>
      </w:r>
      <w:r w:rsidRPr="004A1A26">
        <w:rPr>
          <w:b/>
        </w:rPr>
        <w:t>UNFCCC</w:t>
      </w:r>
      <w:r w:rsidR="00920E4F" w:rsidRPr="004A1A26">
        <w:rPr>
          <w:b/>
        </w:rPr>
        <w:t>)</w:t>
      </w:r>
      <w:r w:rsidRPr="004A1A26">
        <w:rPr>
          <w:b/>
        </w:rPr>
        <w:t xml:space="preserve"> processes are still insufficient to meet </w:t>
      </w:r>
      <w:r w:rsidRPr="004A1A26">
        <w:rPr>
          <w:b/>
        </w:rPr>
        <w:lastRenderedPageBreak/>
        <w:t>the agreed global temperature stabilization goals</w:t>
      </w:r>
      <w:r w:rsidR="00920E4F" w:rsidRPr="004A1A26">
        <w:rPr>
          <w:b/>
        </w:rPr>
        <w:t>,</w:t>
      </w:r>
      <w:r w:rsidRPr="004A1A26">
        <w:rPr>
          <w:b/>
        </w:rPr>
        <w:t xml:space="preserve"> and options are foreclosing</w:t>
      </w:r>
      <w:r w:rsidR="003B26DD">
        <w:rPr>
          <w:b/>
        </w:rPr>
        <w:t xml:space="preserve"> </w:t>
      </w:r>
      <w:r w:rsidR="003B26DD" w:rsidRPr="004A1A26">
        <w:t>(</w:t>
      </w:r>
      <w:r w:rsidR="003B26DD" w:rsidRPr="004A1A26">
        <w:rPr>
          <w:i/>
          <w:iCs/>
        </w:rPr>
        <w:t>established but incomplete</w:t>
      </w:r>
      <w:r w:rsidR="003B26DD" w:rsidRPr="004A1A26">
        <w:t>)</w:t>
      </w:r>
      <w:r w:rsidRPr="004A1A26">
        <w:rPr>
          <w:b/>
        </w:rPr>
        <w:t>.</w:t>
      </w:r>
      <w:r w:rsidRPr="004A1A26">
        <w:t xml:space="preserve"> The </w:t>
      </w:r>
      <w:r w:rsidR="00F340B7" w:rsidRPr="004A1A26">
        <w:t>2015</w:t>
      </w:r>
      <w:r w:rsidRPr="004A1A26">
        <w:t xml:space="preserve"> Paris A</w:t>
      </w:r>
      <w:r w:rsidR="00920E4F" w:rsidRPr="004A1A26">
        <w:t>greement</w:t>
      </w:r>
      <w:r w:rsidRPr="004A1A26">
        <w:t xml:space="preserve"> on </w:t>
      </w:r>
      <w:r w:rsidR="00920E4F" w:rsidRPr="004A1A26">
        <w:t>c</w:t>
      </w:r>
      <w:r w:rsidRPr="004A1A26">
        <w:t xml:space="preserve">limate change set a limit to </w:t>
      </w:r>
      <w:r w:rsidR="00920E4F" w:rsidRPr="004A1A26">
        <w:t xml:space="preserve">the </w:t>
      </w:r>
      <w:r w:rsidRPr="004A1A26">
        <w:t xml:space="preserve">average global temperature </w:t>
      </w:r>
      <w:r w:rsidR="00920E4F" w:rsidRPr="004A1A26">
        <w:t xml:space="preserve">rise </w:t>
      </w:r>
      <w:r w:rsidRPr="004A1A26">
        <w:t xml:space="preserve">in this century </w:t>
      </w:r>
      <w:r w:rsidR="00F340B7" w:rsidRPr="004A1A26">
        <w:t>well</w:t>
      </w:r>
      <w:r w:rsidRPr="004A1A26">
        <w:t xml:space="preserve"> below 2 degrees Celsius</w:t>
      </w:r>
      <w:r w:rsidR="00920E4F" w:rsidRPr="004A1A26">
        <w:t>,</w:t>
      </w:r>
      <w:r w:rsidRPr="004A1A26">
        <w:t xml:space="preserve"> with </w:t>
      </w:r>
      <w:r w:rsidR="00920E4F" w:rsidRPr="004A1A26">
        <w:t xml:space="preserve">the </w:t>
      </w:r>
      <w:r w:rsidRPr="004A1A26">
        <w:t xml:space="preserve">ambition to achieve 1.5 degrees or less, as a means </w:t>
      </w:r>
      <w:r w:rsidR="00920E4F" w:rsidRPr="004A1A26">
        <w:t xml:space="preserve">of </w:t>
      </w:r>
      <w:r w:rsidRPr="004A1A26">
        <w:t xml:space="preserve">transiting towards a low-carbon and resilient </w:t>
      </w:r>
      <w:r w:rsidR="006507E9" w:rsidRPr="004A1A26">
        <w:t>future.</w:t>
      </w:r>
      <w:r w:rsidRPr="004A1A26">
        <w:t xml:space="preserve"> To date, the set of national commitments and their implementation is not on track to avoid dangerous to catastrophic climate change, and delayed ambitions </w:t>
      </w:r>
      <w:r w:rsidR="00920E4F" w:rsidRPr="004A1A26">
        <w:t xml:space="preserve">will </w:t>
      </w:r>
      <w:r w:rsidRPr="004A1A26">
        <w:t xml:space="preserve">lead to </w:t>
      </w:r>
      <w:r w:rsidR="00920E4F" w:rsidRPr="004A1A26">
        <w:t xml:space="preserve">greater </w:t>
      </w:r>
      <w:r w:rsidRPr="004A1A26">
        <w:t xml:space="preserve">risks to the economy and to overall planetary </w:t>
      </w:r>
      <w:r w:rsidR="006507E9" w:rsidRPr="004A1A26">
        <w:t>health {</w:t>
      </w:r>
      <w:r w:rsidR="00BB7616" w:rsidRPr="004A1A26">
        <w:t>5.</w:t>
      </w:r>
      <w:r w:rsidR="00071A13">
        <w:t>5</w:t>
      </w:r>
      <w:r w:rsidR="00982FC1" w:rsidRPr="004A1A26">
        <w:t>}</w:t>
      </w:r>
      <w:r w:rsidRPr="004A1A26">
        <w:t>.</w:t>
      </w:r>
    </w:p>
    <w:p w14:paraId="7596ECC1" w14:textId="77777777" w:rsidR="00DB195E" w:rsidRPr="004A1A26" w:rsidRDefault="00DB195E" w:rsidP="00295C08">
      <w:pPr>
        <w:pStyle w:val="ListParagraph"/>
        <w:numPr>
          <w:ilvl w:val="0"/>
          <w:numId w:val="10"/>
        </w:numPr>
        <w:sectPr w:rsidR="00DB195E" w:rsidRPr="004A1A26" w:rsidSect="00ED1714">
          <w:headerReference w:type="default" r:id="rId8"/>
          <w:footerReference w:type="default" r:id="rId9"/>
          <w:pgSz w:w="11906" w:h="16838" w:code="9"/>
          <w:pgMar w:top="1440" w:right="1440" w:bottom="1440" w:left="1440" w:header="720" w:footer="720" w:gutter="0"/>
          <w:cols w:space="720"/>
          <w:docGrid w:linePitch="360"/>
        </w:sectPr>
      </w:pPr>
      <w:bookmarkStart w:id="3" w:name="_rlxhxngk3b77" w:colFirst="0" w:colLast="0"/>
      <w:bookmarkStart w:id="4" w:name="_jxka6k2j9sn2" w:colFirst="0" w:colLast="0"/>
      <w:bookmarkStart w:id="5" w:name="_qy501vhdeddb" w:colFirst="0" w:colLast="0"/>
      <w:bookmarkEnd w:id="3"/>
      <w:bookmarkEnd w:id="4"/>
      <w:bookmarkEnd w:id="5"/>
    </w:p>
    <w:p w14:paraId="3A05A95E" w14:textId="77777777" w:rsidR="00F340B7" w:rsidRPr="004A1A26" w:rsidRDefault="00EA735D" w:rsidP="00723413">
      <w:pPr>
        <w:pStyle w:val="Heading2"/>
      </w:pPr>
      <w:r w:rsidRPr="004A1A26">
        <w:lastRenderedPageBreak/>
        <w:t>Introduction</w:t>
      </w:r>
    </w:p>
    <w:p w14:paraId="063F3B5E" w14:textId="621B3358" w:rsidR="00F340B7" w:rsidRPr="004A1A26" w:rsidRDefault="00CE6564" w:rsidP="00B477F5">
      <w:r w:rsidRPr="004A1A26">
        <w:t>The composition of Earth</w:t>
      </w:r>
      <w:r w:rsidR="00F340B7" w:rsidRPr="004A1A26">
        <w:t>’</w:t>
      </w:r>
      <w:r w:rsidRPr="004A1A26">
        <w:t xml:space="preserve">s atmosphere </w:t>
      </w:r>
      <w:r w:rsidR="00F32F98" w:rsidRPr="004A1A26">
        <w:t xml:space="preserve">is one of the major determinants of a healthy planet, influencing the climate, ecosystems and human health. This is highlighted by the </w:t>
      </w:r>
      <w:r w:rsidRPr="004A1A26">
        <w:t xml:space="preserve">existence of a direct or indirect link between </w:t>
      </w:r>
      <w:r w:rsidR="00D86B9D" w:rsidRPr="004A1A26">
        <w:t xml:space="preserve">the challenges of air pollution, climate change, stratospheric ozone depletion, persistent </w:t>
      </w:r>
      <w:proofErr w:type="spellStart"/>
      <w:r w:rsidR="00D86B9D" w:rsidRPr="004A1A26">
        <w:t>bioaccumulative</w:t>
      </w:r>
      <w:proofErr w:type="spellEnd"/>
      <w:r w:rsidR="00D86B9D" w:rsidRPr="004A1A26">
        <w:t xml:space="preserve"> </w:t>
      </w:r>
      <w:r w:rsidR="00DE48A5" w:rsidRPr="004A1A26">
        <w:t xml:space="preserve">and </w:t>
      </w:r>
      <w:r w:rsidR="00D86B9D" w:rsidRPr="004A1A26">
        <w:t xml:space="preserve">toxic (PBT) </w:t>
      </w:r>
      <w:r w:rsidR="00F340B7" w:rsidRPr="004A1A26">
        <w:t>chemi</w:t>
      </w:r>
      <w:r w:rsidR="00D86B9D" w:rsidRPr="004A1A26">
        <w:t xml:space="preserve">cals and </w:t>
      </w:r>
      <w:r w:rsidRPr="004A1A26">
        <w:t xml:space="preserve">each of the </w:t>
      </w:r>
      <w:r w:rsidR="00DE48A5" w:rsidRPr="004A1A26">
        <w:t>Sustainable Development Goals (</w:t>
      </w:r>
      <w:r w:rsidRPr="004A1A26">
        <w:t>SDGs</w:t>
      </w:r>
      <w:r w:rsidR="00DE48A5" w:rsidRPr="004A1A26">
        <w:t>)</w:t>
      </w:r>
      <w:r w:rsidR="00512FED">
        <w:t xml:space="preserve"> </w:t>
      </w:r>
      <w:r w:rsidR="00F32F98" w:rsidRPr="004A1A26">
        <w:t>(</w:t>
      </w:r>
      <w:r w:rsidR="00DE48A5" w:rsidRPr="004A1A26">
        <w:t xml:space="preserve">United Nations </w:t>
      </w:r>
      <w:r w:rsidR="00F340B7" w:rsidRPr="004A1A26">
        <w:t>2015</w:t>
      </w:r>
      <w:r w:rsidR="00F32F98" w:rsidRPr="004A1A26">
        <w:t>).</w:t>
      </w:r>
    </w:p>
    <w:p w14:paraId="6C09BE97" w14:textId="77777777" w:rsidR="00512FED" w:rsidRDefault="00396B02" w:rsidP="007A04C9">
      <w:r w:rsidRPr="004A1A26">
        <w:t xml:space="preserve">A </w:t>
      </w:r>
      <w:r w:rsidR="00F32F98" w:rsidRPr="004A1A26">
        <w:t xml:space="preserve">plethora of international, national, </w:t>
      </w:r>
      <w:r w:rsidR="00F340B7" w:rsidRPr="004A1A26">
        <w:t>sub</w:t>
      </w:r>
      <w:r w:rsidR="00F32F98" w:rsidRPr="004A1A26">
        <w:t>national and regional policies have been deployed to address</w:t>
      </w:r>
      <w:r w:rsidR="00512FED">
        <w:t xml:space="preserve"> </w:t>
      </w:r>
      <w:r w:rsidR="00CE6564" w:rsidRPr="004A1A26">
        <w:t>these challenges</w:t>
      </w:r>
      <w:r w:rsidR="00F32F98" w:rsidRPr="004A1A26">
        <w:t>. The fundamental forms include</w:t>
      </w:r>
      <w:r w:rsidR="00F65E14" w:rsidRPr="004A1A26">
        <w:t>:</w:t>
      </w:r>
    </w:p>
    <w:p w14:paraId="3B87BF35" w14:textId="09AB6431" w:rsidR="00512FED" w:rsidRDefault="00F65E14" w:rsidP="00295C08">
      <w:pPr>
        <w:pStyle w:val="ListParagraph"/>
        <w:numPr>
          <w:ilvl w:val="0"/>
          <w:numId w:val="13"/>
        </w:numPr>
        <w:spacing w:after="120" w:line="240" w:lineRule="auto"/>
      </w:pPr>
      <w:r w:rsidRPr="004A1A26">
        <w:t>technol</w:t>
      </w:r>
      <w:r w:rsidR="00F340B7" w:rsidRPr="004A1A26">
        <w:t>ogy</w:t>
      </w:r>
      <w:r w:rsidRPr="004A1A26">
        <w:t xml:space="preserve"> or </w:t>
      </w:r>
      <w:r w:rsidR="00F340B7" w:rsidRPr="004A1A26">
        <w:t>emission</w:t>
      </w:r>
      <w:r w:rsidRPr="004A1A26">
        <w:t xml:space="preserve">s standards, </w:t>
      </w:r>
      <w:r w:rsidR="00DD1084" w:rsidRPr="004A1A26">
        <w:t xml:space="preserve">commonly referred to as </w:t>
      </w:r>
      <w:r w:rsidR="00F340B7" w:rsidRPr="004A1A26">
        <w:t>‘</w:t>
      </w:r>
      <w:r w:rsidR="00F32F98" w:rsidRPr="004A1A26">
        <w:t>command and control</w:t>
      </w:r>
      <w:r w:rsidR="00DE48A5" w:rsidRPr="004A1A26">
        <w:t>’</w:t>
      </w:r>
      <w:r w:rsidR="00DD1084" w:rsidRPr="004A1A26">
        <w:t>;</w:t>
      </w:r>
    </w:p>
    <w:p w14:paraId="7C165A62" w14:textId="0F2F4EB8" w:rsidR="00512FED" w:rsidRDefault="00FA7AA4" w:rsidP="00295C08">
      <w:pPr>
        <w:pStyle w:val="ListParagraph"/>
        <w:numPr>
          <w:ilvl w:val="0"/>
          <w:numId w:val="13"/>
        </w:numPr>
        <w:spacing w:after="120" w:line="240" w:lineRule="auto"/>
      </w:pPr>
      <w:r w:rsidRPr="004A1A26">
        <w:t>planning regimes;</w:t>
      </w:r>
    </w:p>
    <w:p w14:paraId="536AEE5A" w14:textId="24EBB50C" w:rsidR="00512FED" w:rsidRDefault="00FA7AA4" w:rsidP="00295C08">
      <w:pPr>
        <w:pStyle w:val="ListParagraph"/>
        <w:numPr>
          <w:ilvl w:val="0"/>
          <w:numId w:val="13"/>
        </w:numPr>
        <w:spacing w:after="120" w:line="240" w:lineRule="auto"/>
      </w:pPr>
      <w:r w:rsidRPr="004A1A26">
        <w:t xml:space="preserve"> market interventions;</w:t>
      </w:r>
    </w:p>
    <w:p w14:paraId="47FFC57F" w14:textId="018D5CCA" w:rsidR="00512FED" w:rsidRDefault="00FA7AA4" w:rsidP="00295C08">
      <w:pPr>
        <w:pStyle w:val="ListParagraph"/>
        <w:numPr>
          <w:ilvl w:val="0"/>
          <w:numId w:val="13"/>
        </w:numPr>
        <w:spacing w:after="120" w:line="240" w:lineRule="auto"/>
      </w:pPr>
      <w:r w:rsidRPr="004A1A26">
        <w:t xml:space="preserve">public information; </w:t>
      </w:r>
      <w:r w:rsidR="00D86B9D" w:rsidRPr="004A1A26">
        <w:t>and</w:t>
      </w:r>
    </w:p>
    <w:p w14:paraId="3901867F" w14:textId="272D532D" w:rsidR="00512FED" w:rsidRDefault="00D86B9D" w:rsidP="00295C08">
      <w:pPr>
        <w:pStyle w:val="ListParagraph"/>
        <w:numPr>
          <w:ilvl w:val="0"/>
          <w:numId w:val="13"/>
        </w:numPr>
        <w:spacing w:after="120" w:line="240" w:lineRule="auto"/>
      </w:pPr>
      <w:r w:rsidRPr="004A1A26">
        <w:t xml:space="preserve">cooperative forums, including international agreements. </w:t>
      </w:r>
    </w:p>
    <w:p w14:paraId="4F39573A" w14:textId="77777777" w:rsidR="00512FED" w:rsidRDefault="00512FED" w:rsidP="00512FED">
      <w:pPr>
        <w:spacing w:after="0" w:line="240" w:lineRule="auto"/>
      </w:pPr>
    </w:p>
    <w:p w14:paraId="42D52BD0" w14:textId="5DF9BDE4" w:rsidR="00F340B7" w:rsidRPr="004A1A26" w:rsidRDefault="00D86B9D" w:rsidP="00512FED">
      <w:r w:rsidRPr="004A1A26">
        <w:t>The various policy instruments that are used in each of these approaches are discussed in the following sections along with a case study</w:t>
      </w:r>
      <w:r w:rsidR="00A9770C" w:rsidRPr="004A1A26">
        <w:t xml:space="preserve"> to illustrate each approach</w:t>
      </w:r>
      <w:r w:rsidRPr="004A1A26">
        <w:t xml:space="preserve">. </w:t>
      </w:r>
      <w:r w:rsidR="00F16A46" w:rsidRPr="004A1A26">
        <w:t>Key features of each case are highlighted using the methodol</w:t>
      </w:r>
      <w:r w:rsidR="00F340B7" w:rsidRPr="004A1A26">
        <w:t>ogy</w:t>
      </w:r>
      <w:r w:rsidR="00F16A46" w:rsidRPr="004A1A26">
        <w:t xml:space="preserve"> described in section 10.</w:t>
      </w:r>
      <w:r w:rsidR="00052ABE">
        <w:t>6</w:t>
      </w:r>
      <w:r w:rsidR="00F16A46" w:rsidRPr="004A1A26">
        <w:t xml:space="preserve">. </w:t>
      </w:r>
      <w:r w:rsidRPr="004A1A26">
        <w:t xml:space="preserve">The case studies </w:t>
      </w:r>
      <w:r w:rsidR="007A04C9" w:rsidRPr="004A1A26">
        <w:t xml:space="preserve">are selected </w:t>
      </w:r>
      <w:r w:rsidRPr="004A1A26">
        <w:t>from a diverse range of ge</w:t>
      </w:r>
      <w:r w:rsidR="00F340B7" w:rsidRPr="004A1A26">
        <w:t>ogra</w:t>
      </w:r>
      <w:r w:rsidRPr="004A1A26">
        <w:t xml:space="preserve">phical contexts, spatial scales and </w:t>
      </w:r>
      <w:r w:rsidR="00DE48A5" w:rsidRPr="004A1A26">
        <w:t xml:space="preserve">implementation </w:t>
      </w:r>
      <w:r w:rsidR="00F340B7" w:rsidRPr="004A1A26">
        <w:t>time frame</w:t>
      </w:r>
      <w:r w:rsidRPr="004A1A26">
        <w:t xml:space="preserve">s. The case studies are not intended to be all encompassing, but highlight the context-specific nuances, generic patterns and issues that require attention from relevant stakeholders to </w:t>
      </w:r>
      <w:r w:rsidR="00F16A46" w:rsidRPr="004A1A26">
        <w:t xml:space="preserve">elicit better policy outcomes. </w:t>
      </w:r>
      <w:r w:rsidRPr="004A1A26">
        <w:t>They are not intended to be replica</w:t>
      </w:r>
      <w:r w:rsidR="00DE48A5" w:rsidRPr="004A1A26">
        <w:t>ble</w:t>
      </w:r>
      <w:r w:rsidRPr="004A1A26">
        <w:t xml:space="preserve"> without considering the local context.</w:t>
      </w:r>
    </w:p>
    <w:p w14:paraId="06FE99EA" w14:textId="77777777" w:rsidR="00D86B9D" w:rsidRPr="004A1A26" w:rsidRDefault="00D86B9D" w:rsidP="00D86B9D">
      <w:pPr>
        <w:pStyle w:val="Caption"/>
      </w:pPr>
      <w:r w:rsidRPr="004A1A26">
        <w:t xml:space="preserve">Table </w:t>
      </w:r>
      <w:r w:rsidR="00350B00" w:rsidRPr="004A1A26">
        <w:rPr>
          <w:noProof/>
        </w:rPr>
        <w:fldChar w:fldCharType="begin"/>
      </w:r>
      <w:r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Pr="004A1A26">
        <w:t>.</w:t>
      </w:r>
      <w:r w:rsidR="00350B00" w:rsidRPr="004A1A26">
        <w:rPr>
          <w:noProof/>
        </w:rPr>
        <w:fldChar w:fldCharType="begin"/>
      </w:r>
      <w:r w:rsidRPr="004A1A26">
        <w:rPr>
          <w:noProof/>
        </w:rPr>
        <w:instrText xml:space="preserve"> SEQ Table \* ARABIC \s 1 </w:instrText>
      </w:r>
      <w:r w:rsidR="00350B00" w:rsidRPr="004A1A26">
        <w:rPr>
          <w:noProof/>
        </w:rPr>
        <w:fldChar w:fldCharType="separate"/>
      </w:r>
      <w:r w:rsidR="00430786" w:rsidRPr="004A1A26">
        <w:rPr>
          <w:noProof/>
        </w:rPr>
        <w:t>1</w:t>
      </w:r>
      <w:r w:rsidR="00350B00" w:rsidRPr="004A1A26">
        <w:rPr>
          <w:noProof/>
        </w:rPr>
        <w:fldChar w:fldCharType="end"/>
      </w:r>
      <w:r w:rsidRPr="004A1A26">
        <w:t>: Typol</w:t>
      </w:r>
      <w:r w:rsidR="00F340B7" w:rsidRPr="004A1A26">
        <w:t>ogy</w:t>
      </w:r>
      <w:r w:rsidRPr="004A1A26">
        <w:t xml:space="preserve"> of policy and governance approaches described in this chapter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4409"/>
        <w:gridCol w:w="2824"/>
      </w:tblGrid>
      <w:tr w:rsidR="00D86B9D" w:rsidRPr="007E46CC" w14:paraId="12CB1001" w14:textId="77777777" w:rsidTr="000056BB">
        <w:tc>
          <w:tcPr>
            <w:tcW w:w="1809" w:type="dxa"/>
            <w:shd w:val="clear" w:color="auto" w:fill="FFFFFF"/>
            <w:hideMark/>
          </w:tcPr>
          <w:p w14:paraId="70636731" w14:textId="77777777" w:rsidR="00D86B9D" w:rsidRPr="00512FED" w:rsidRDefault="00D86B9D" w:rsidP="00512FED">
            <w:pPr>
              <w:pStyle w:val="TableText"/>
              <w:spacing w:before="0" w:after="0" w:line="240" w:lineRule="auto"/>
              <w:jc w:val="center"/>
              <w:rPr>
                <w:b/>
                <w:sz w:val="20"/>
              </w:rPr>
            </w:pPr>
            <w:r w:rsidRPr="00512FED">
              <w:rPr>
                <w:b/>
                <w:sz w:val="20"/>
              </w:rPr>
              <w:t xml:space="preserve">Governance </w:t>
            </w:r>
            <w:r w:rsidR="00DE48A5" w:rsidRPr="00512FED">
              <w:rPr>
                <w:b/>
                <w:sz w:val="20"/>
              </w:rPr>
              <w:t>a</w:t>
            </w:r>
            <w:r w:rsidRPr="00512FED">
              <w:rPr>
                <w:b/>
                <w:sz w:val="20"/>
              </w:rPr>
              <w:t>pproach</w:t>
            </w:r>
          </w:p>
        </w:tc>
        <w:tc>
          <w:tcPr>
            <w:tcW w:w="4536" w:type="dxa"/>
            <w:shd w:val="clear" w:color="auto" w:fill="FFFFFF"/>
            <w:hideMark/>
          </w:tcPr>
          <w:p w14:paraId="307AC40E" w14:textId="77777777" w:rsidR="00D86B9D" w:rsidRPr="00512FED" w:rsidRDefault="00D86B9D" w:rsidP="00512FED">
            <w:pPr>
              <w:pStyle w:val="TableText"/>
              <w:spacing w:before="0" w:after="0" w:line="240" w:lineRule="auto"/>
              <w:jc w:val="center"/>
              <w:rPr>
                <w:b/>
                <w:sz w:val="20"/>
              </w:rPr>
            </w:pPr>
            <w:r w:rsidRPr="00512FED">
              <w:rPr>
                <w:b/>
                <w:sz w:val="20"/>
              </w:rPr>
              <w:t xml:space="preserve">Policy </w:t>
            </w:r>
            <w:r w:rsidR="00DE48A5" w:rsidRPr="00512FED">
              <w:rPr>
                <w:b/>
                <w:sz w:val="20"/>
              </w:rPr>
              <w:t>i</w:t>
            </w:r>
            <w:r w:rsidRPr="00512FED">
              <w:rPr>
                <w:b/>
                <w:sz w:val="20"/>
              </w:rPr>
              <w:t>nstrument(s)</w:t>
            </w:r>
          </w:p>
        </w:tc>
        <w:tc>
          <w:tcPr>
            <w:tcW w:w="2897" w:type="dxa"/>
            <w:shd w:val="clear" w:color="auto" w:fill="FFFFFF"/>
            <w:hideMark/>
          </w:tcPr>
          <w:p w14:paraId="70C00D4C" w14:textId="77777777" w:rsidR="00D86B9D" w:rsidRPr="00512FED" w:rsidRDefault="00D86B9D" w:rsidP="00512FED">
            <w:pPr>
              <w:pStyle w:val="TableText"/>
              <w:spacing w:before="0" w:after="0" w:line="240" w:lineRule="auto"/>
              <w:jc w:val="center"/>
              <w:rPr>
                <w:b/>
                <w:sz w:val="20"/>
              </w:rPr>
            </w:pPr>
            <w:r w:rsidRPr="00512FED">
              <w:rPr>
                <w:b/>
                <w:sz w:val="20"/>
              </w:rPr>
              <w:t xml:space="preserve">Case </w:t>
            </w:r>
            <w:r w:rsidR="00DE48A5" w:rsidRPr="00512FED">
              <w:rPr>
                <w:b/>
                <w:sz w:val="20"/>
              </w:rPr>
              <w:t>s</w:t>
            </w:r>
            <w:r w:rsidRPr="00512FED">
              <w:rPr>
                <w:b/>
                <w:sz w:val="20"/>
              </w:rPr>
              <w:t>tudy</w:t>
            </w:r>
          </w:p>
        </w:tc>
      </w:tr>
      <w:tr w:rsidR="00D86B9D" w:rsidRPr="007E46CC" w14:paraId="454EA87D" w14:textId="77777777" w:rsidTr="000056BB">
        <w:tc>
          <w:tcPr>
            <w:tcW w:w="1809" w:type="dxa"/>
            <w:shd w:val="clear" w:color="auto" w:fill="D9E2F3"/>
            <w:hideMark/>
          </w:tcPr>
          <w:p w14:paraId="13319F5A" w14:textId="77777777" w:rsidR="00D86B9D" w:rsidRPr="007E46CC" w:rsidRDefault="00D86B9D" w:rsidP="007E46CC">
            <w:pPr>
              <w:pStyle w:val="TableText"/>
              <w:spacing w:before="0" w:after="0" w:line="240" w:lineRule="auto"/>
              <w:rPr>
                <w:sz w:val="20"/>
              </w:rPr>
            </w:pPr>
            <w:r w:rsidRPr="007E46CC">
              <w:rPr>
                <w:sz w:val="20"/>
              </w:rPr>
              <w:t xml:space="preserve">Planning </w:t>
            </w:r>
            <w:r w:rsidR="00DE48A5" w:rsidRPr="007E46CC">
              <w:rPr>
                <w:sz w:val="20"/>
              </w:rPr>
              <w:t>r</w:t>
            </w:r>
            <w:r w:rsidRPr="007E46CC">
              <w:rPr>
                <w:sz w:val="20"/>
              </w:rPr>
              <w:t>egimes</w:t>
            </w:r>
          </w:p>
        </w:tc>
        <w:tc>
          <w:tcPr>
            <w:tcW w:w="4536" w:type="dxa"/>
            <w:shd w:val="clear" w:color="auto" w:fill="D9E2F3"/>
            <w:hideMark/>
          </w:tcPr>
          <w:p w14:paraId="71BB00E1" w14:textId="77777777" w:rsidR="00D86B9D" w:rsidRPr="007E46CC" w:rsidRDefault="00D86B9D" w:rsidP="007E46CC">
            <w:pPr>
              <w:pStyle w:val="TableText"/>
              <w:spacing w:before="0" w:after="0" w:line="240" w:lineRule="auto"/>
              <w:rPr>
                <w:sz w:val="20"/>
              </w:rPr>
            </w:pPr>
            <w:r w:rsidRPr="007E46CC">
              <w:rPr>
                <w:sz w:val="20"/>
              </w:rPr>
              <w:t xml:space="preserve">Ambient </w:t>
            </w:r>
            <w:r w:rsidR="00DE48A5" w:rsidRPr="007E46CC">
              <w:rPr>
                <w:sz w:val="20"/>
              </w:rPr>
              <w:t>s</w:t>
            </w:r>
            <w:r w:rsidRPr="007E46CC">
              <w:rPr>
                <w:sz w:val="20"/>
              </w:rPr>
              <w:t xml:space="preserve">tandards, </w:t>
            </w:r>
            <w:r w:rsidR="00DE48A5" w:rsidRPr="007E46CC">
              <w:rPr>
                <w:sz w:val="20"/>
              </w:rPr>
              <w:t>e</w:t>
            </w:r>
            <w:r w:rsidRPr="007E46CC">
              <w:rPr>
                <w:sz w:val="20"/>
              </w:rPr>
              <w:t xml:space="preserve">missions </w:t>
            </w:r>
            <w:r w:rsidR="00DE48A5" w:rsidRPr="007E46CC">
              <w:rPr>
                <w:sz w:val="20"/>
              </w:rPr>
              <w:t>b</w:t>
            </w:r>
            <w:r w:rsidRPr="007E46CC">
              <w:rPr>
                <w:sz w:val="20"/>
              </w:rPr>
              <w:t>udgets</w:t>
            </w:r>
          </w:p>
        </w:tc>
        <w:tc>
          <w:tcPr>
            <w:tcW w:w="2897" w:type="dxa"/>
            <w:shd w:val="clear" w:color="auto" w:fill="D9E2F3"/>
            <w:hideMark/>
          </w:tcPr>
          <w:p w14:paraId="2E1DB8FE" w14:textId="77777777" w:rsidR="00D86B9D" w:rsidRPr="007E46CC" w:rsidRDefault="00F340B7" w:rsidP="007E46CC">
            <w:pPr>
              <w:pStyle w:val="TableText"/>
              <w:spacing w:before="0" w:after="0" w:line="240" w:lineRule="auto"/>
              <w:rPr>
                <w:sz w:val="20"/>
              </w:rPr>
            </w:pPr>
            <w:r w:rsidRPr="007E46CC">
              <w:rPr>
                <w:sz w:val="20"/>
              </w:rPr>
              <w:t>United Kingdom of Great Britain and Northern Ireland</w:t>
            </w:r>
            <w:r w:rsidR="00D86B9D" w:rsidRPr="007E46CC">
              <w:rPr>
                <w:sz w:val="20"/>
              </w:rPr>
              <w:t xml:space="preserve"> Climate Act and </w:t>
            </w:r>
            <w:r w:rsidR="00DE48A5" w:rsidRPr="007E46CC">
              <w:rPr>
                <w:sz w:val="20"/>
              </w:rPr>
              <w:t>c</w:t>
            </w:r>
            <w:r w:rsidR="00D86B9D" w:rsidRPr="007E46CC">
              <w:rPr>
                <w:sz w:val="20"/>
              </w:rPr>
              <w:t xml:space="preserve">arbon </w:t>
            </w:r>
            <w:r w:rsidR="00DE48A5" w:rsidRPr="007E46CC">
              <w:rPr>
                <w:sz w:val="20"/>
              </w:rPr>
              <w:t>b</w:t>
            </w:r>
            <w:r w:rsidR="00D86B9D" w:rsidRPr="007E46CC">
              <w:rPr>
                <w:sz w:val="20"/>
              </w:rPr>
              <w:t>udgets</w:t>
            </w:r>
          </w:p>
        </w:tc>
      </w:tr>
      <w:tr w:rsidR="00D86B9D" w:rsidRPr="007E46CC" w14:paraId="14FD9B20" w14:textId="77777777" w:rsidTr="000056BB">
        <w:tc>
          <w:tcPr>
            <w:tcW w:w="1809" w:type="dxa"/>
            <w:shd w:val="clear" w:color="auto" w:fill="auto"/>
          </w:tcPr>
          <w:p w14:paraId="75A2906F" w14:textId="77777777" w:rsidR="00D86B9D" w:rsidRPr="007E46CC" w:rsidRDefault="00D86B9D" w:rsidP="007E46CC">
            <w:pPr>
              <w:pStyle w:val="TableText"/>
              <w:spacing w:before="0" w:after="0" w:line="240" w:lineRule="auto"/>
              <w:rPr>
                <w:sz w:val="20"/>
              </w:rPr>
            </w:pPr>
            <w:r w:rsidRPr="007E46CC">
              <w:rPr>
                <w:sz w:val="20"/>
              </w:rPr>
              <w:t>Technol</w:t>
            </w:r>
            <w:r w:rsidR="00F340B7" w:rsidRPr="007E46CC">
              <w:rPr>
                <w:sz w:val="20"/>
              </w:rPr>
              <w:t>ogy</w:t>
            </w:r>
            <w:r w:rsidRPr="007E46CC">
              <w:rPr>
                <w:sz w:val="20"/>
              </w:rPr>
              <w:t xml:space="preserve"> and </w:t>
            </w:r>
            <w:r w:rsidR="00DE48A5" w:rsidRPr="007E46CC">
              <w:rPr>
                <w:sz w:val="20"/>
              </w:rPr>
              <w:t>e</w:t>
            </w:r>
            <w:r w:rsidRPr="007E46CC">
              <w:rPr>
                <w:sz w:val="20"/>
              </w:rPr>
              <w:t xml:space="preserve">missions </w:t>
            </w:r>
            <w:r w:rsidR="00DE48A5" w:rsidRPr="007E46CC">
              <w:rPr>
                <w:sz w:val="20"/>
              </w:rPr>
              <w:t>s</w:t>
            </w:r>
            <w:r w:rsidRPr="007E46CC">
              <w:rPr>
                <w:sz w:val="20"/>
              </w:rPr>
              <w:t>tandards</w:t>
            </w:r>
          </w:p>
        </w:tc>
        <w:tc>
          <w:tcPr>
            <w:tcW w:w="4536" w:type="dxa"/>
            <w:shd w:val="clear" w:color="auto" w:fill="auto"/>
          </w:tcPr>
          <w:p w14:paraId="788BE809" w14:textId="77777777" w:rsidR="00D86B9D" w:rsidRPr="007E46CC" w:rsidRDefault="00D86B9D" w:rsidP="007E46CC">
            <w:pPr>
              <w:pStyle w:val="TableText"/>
              <w:spacing w:before="0" w:after="0" w:line="240" w:lineRule="auto"/>
              <w:rPr>
                <w:sz w:val="20"/>
              </w:rPr>
            </w:pPr>
            <w:r w:rsidRPr="007E46CC">
              <w:rPr>
                <w:sz w:val="20"/>
              </w:rPr>
              <w:t xml:space="preserve">Emissions </w:t>
            </w:r>
            <w:r w:rsidR="00DE48A5" w:rsidRPr="007E46CC">
              <w:rPr>
                <w:sz w:val="20"/>
              </w:rPr>
              <w:t>s</w:t>
            </w:r>
            <w:r w:rsidRPr="007E46CC">
              <w:rPr>
                <w:sz w:val="20"/>
              </w:rPr>
              <w:t xml:space="preserve">tandards, </w:t>
            </w:r>
            <w:r w:rsidR="00DE48A5" w:rsidRPr="007E46CC">
              <w:rPr>
                <w:sz w:val="20"/>
              </w:rPr>
              <w:t>f</w:t>
            </w:r>
            <w:r w:rsidRPr="007E46CC">
              <w:rPr>
                <w:sz w:val="20"/>
              </w:rPr>
              <w:t xml:space="preserve">uel </w:t>
            </w:r>
            <w:r w:rsidR="00DE48A5" w:rsidRPr="007E46CC">
              <w:rPr>
                <w:sz w:val="20"/>
              </w:rPr>
              <w:t>q</w:t>
            </w:r>
            <w:r w:rsidRPr="007E46CC">
              <w:rPr>
                <w:sz w:val="20"/>
              </w:rPr>
              <w:t xml:space="preserve">uality </w:t>
            </w:r>
            <w:r w:rsidR="00DE48A5" w:rsidRPr="007E46CC">
              <w:rPr>
                <w:sz w:val="20"/>
              </w:rPr>
              <w:t>s</w:t>
            </w:r>
            <w:r w:rsidRPr="007E46CC">
              <w:rPr>
                <w:sz w:val="20"/>
              </w:rPr>
              <w:t xml:space="preserve">tandards, </w:t>
            </w:r>
            <w:r w:rsidR="00DE48A5" w:rsidRPr="007E46CC">
              <w:rPr>
                <w:sz w:val="20"/>
              </w:rPr>
              <w:t>e</w:t>
            </w:r>
            <w:r w:rsidRPr="007E46CC">
              <w:rPr>
                <w:sz w:val="20"/>
              </w:rPr>
              <w:t xml:space="preserve">fficiency </w:t>
            </w:r>
            <w:r w:rsidR="00DE48A5" w:rsidRPr="007E46CC">
              <w:rPr>
                <w:sz w:val="20"/>
              </w:rPr>
              <w:t>s</w:t>
            </w:r>
            <w:r w:rsidRPr="007E46CC">
              <w:rPr>
                <w:sz w:val="20"/>
              </w:rPr>
              <w:t xml:space="preserve">tandards, </w:t>
            </w:r>
            <w:r w:rsidR="00DE48A5" w:rsidRPr="007E46CC">
              <w:rPr>
                <w:sz w:val="20"/>
              </w:rPr>
              <w:t>b</w:t>
            </w:r>
            <w:r w:rsidRPr="007E46CC">
              <w:rPr>
                <w:sz w:val="20"/>
              </w:rPr>
              <w:t xml:space="preserve">est </w:t>
            </w:r>
            <w:r w:rsidR="00DE48A5" w:rsidRPr="007E46CC">
              <w:rPr>
                <w:sz w:val="20"/>
              </w:rPr>
              <w:t>a</w:t>
            </w:r>
            <w:r w:rsidRPr="007E46CC">
              <w:rPr>
                <w:sz w:val="20"/>
              </w:rPr>
              <w:t xml:space="preserve">vailable </w:t>
            </w:r>
            <w:r w:rsidR="00DE48A5" w:rsidRPr="007E46CC">
              <w:rPr>
                <w:sz w:val="20"/>
              </w:rPr>
              <w:t>c</w:t>
            </w:r>
            <w:r w:rsidRPr="007E46CC">
              <w:rPr>
                <w:sz w:val="20"/>
              </w:rPr>
              <w:t xml:space="preserve">ontrol </w:t>
            </w:r>
            <w:r w:rsidR="00DE48A5" w:rsidRPr="007E46CC">
              <w:rPr>
                <w:sz w:val="20"/>
              </w:rPr>
              <w:t>t</w:t>
            </w:r>
            <w:r w:rsidRPr="007E46CC">
              <w:rPr>
                <w:sz w:val="20"/>
              </w:rPr>
              <w:t>echnol</w:t>
            </w:r>
            <w:r w:rsidR="00F340B7" w:rsidRPr="007E46CC">
              <w:rPr>
                <w:sz w:val="20"/>
              </w:rPr>
              <w:t>ogy</w:t>
            </w:r>
          </w:p>
        </w:tc>
        <w:tc>
          <w:tcPr>
            <w:tcW w:w="2897" w:type="dxa"/>
            <w:shd w:val="clear" w:color="auto" w:fill="auto"/>
          </w:tcPr>
          <w:p w14:paraId="2A5188E6" w14:textId="77777777" w:rsidR="00D86B9D" w:rsidRPr="007E46CC" w:rsidRDefault="00D86B9D" w:rsidP="007E46CC">
            <w:pPr>
              <w:pStyle w:val="TableText"/>
              <w:spacing w:before="0" w:after="0" w:line="240" w:lineRule="auto"/>
              <w:rPr>
                <w:sz w:val="20"/>
              </w:rPr>
            </w:pPr>
            <w:r w:rsidRPr="007E46CC">
              <w:rPr>
                <w:sz w:val="20"/>
              </w:rPr>
              <w:t xml:space="preserve">Diesel </w:t>
            </w:r>
            <w:r w:rsidR="00DE48A5" w:rsidRPr="007E46CC">
              <w:rPr>
                <w:sz w:val="20"/>
              </w:rPr>
              <w:t>e</w:t>
            </w:r>
            <w:r w:rsidRPr="007E46CC">
              <w:rPr>
                <w:sz w:val="20"/>
              </w:rPr>
              <w:t xml:space="preserve">missions </w:t>
            </w:r>
            <w:r w:rsidR="00DE48A5" w:rsidRPr="007E46CC">
              <w:rPr>
                <w:sz w:val="20"/>
              </w:rPr>
              <w:t>s</w:t>
            </w:r>
            <w:r w:rsidRPr="007E46CC">
              <w:rPr>
                <w:sz w:val="20"/>
              </w:rPr>
              <w:t>tandards in Europe</w:t>
            </w:r>
          </w:p>
        </w:tc>
      </w:tr>
      <w:tr w:rsidR="00D86B9D" w:rsidRPr="007E46CC" w14:paraId="3A5C6C15" w14:textId="77777777" w:rsidTr="000056BB">
        <w:tc>
          <w:tcPr>
            <w:tcW w:w="1809" w:type="dxa"/>
            <w:shd w:val="clear" w:color="auto" w:fill="D9E2F3"/>
            <w:hideMark/>
          </w:tcPr>
          <w:p w14:paraId="6034DD9C" w14:textId="77777777" w:rsidR="00D86B9D" w:rsidRPr="007E46CC" w:rsidRDefault="00D86B9D" w:rsidP="007E46CC">
            <w:pPr>
              <w:pStyle w:val="TableText"/>
              <w:spacing w:before="0" w:after="0" w:line="240" w:lineRule="auto"/>
              <w:rPr>
                <w:sz w:val="20"/>
              </w:rPr>
            </w:pPr>
            <w:r w:rsidRPr="007E46CC">
              <w:rPr>
                <w:sz w:val="20"/>
              </w:rPr>
              <w:t xml:space="preserve">Market </w:t>
            </w:r>
            <w:r w:rsidR="00DE48A5" w:rsidRPr="007E46CC">
              <w:rPr>
                <w:sz w:val="20"/>
              </w:rPr>
              <w:t>i</w:t>
            </w:r>
            <w:r w:rsidRPr="007E46CC">
              <w:rPr>
                <w:sz w:val="20"/>
              </w:rPr>
              <w:t>nterventions</w:t>
            </w:r>
          </w:p>
        </w:tc>
        <w:tc>
          <w:tcPr>
            <w:tcW w:w="4536" w:type="dxa"/>
            <w:shd w:val="clear" w:color="auto" w:fill="D9E2F3"/>
            <w:hideMark/>
          </w:tcPr>
          <w:p w14:paraId="67269258" w14:textId="77777777" w:rsidR="00D86B9D" w:rsidRPr="007E46CC" w:rsidRDefault="00D86B9D" w:rsidP="007E46CC">
            <w:pPr>
              <w:pStyle w:val="TableText"/>
              <w:spacing w:before="0" w:after="0" w:line="240" w:lineRule="auto"/>
              <w:rPr>
                <w:sz w:val="20"/>
              </w:rPr>
            </w:pPr>
            <w:r w:rsidRPr="007E46CC">
              <w:rPr>
                <w:sz w:val="20"/>
              </w:rPr>
              <w:t xml:space="preserve">Subsidies, </w:t>
            </w:r>
            <w:r w:rsidR="00DE48A5" w:rsidRPr="007E46CC">
              <w:rPr>
                <w:sz w:val="20"/>
              </w:rPr>
              <w:t>t</w:t>
            </w:r>
            <w:r w:rsidRPr="007E46CC">
              <w:rPr>
                <w:sz w:val="20"/>
              </w:rPr>
              <w:t xml:space="preserve">ax policy, </w:t>
            </w:r>
            <w:r w:rsidR="00DE48A5" w:rsidRPr="007E46CC">
              <w:rPr>
                <w:sz w:val="20"/>
              </w:rPr>
              <w:t>t</w:t>
            </w:r>
            <w:r w:rsidRPr="007E46CC">
              <w:rPr>
                <w:sz w:val="20"/>
              </w:rPr>
              <w:t xml:space="preserve">radeable </w:t>
            </w:r>
            <w:r w:rsidR="00DE48A5" w:rsidRPr="007E46CC">
              <w:rPr>
                <w:sz w:val="20"/>
              </w:rPr>
              <w:t>c</w:t>
            </w:r>
            <w:r w:rsidRPr="007E46CC">
              <w:rPr>
                <w:sz w:val="20"/>
              </w:rPr>
              <w:t>redits/</w:t>
            </w:r>
            <w:r w:rsidR="00DE48A5" w:rsidRPr="007E46CC">
              <w:rPr>
                <w:sz w:val="20"/>
              </w:rPr>
              <w:t>a</w:t>
            </w:r>
            <w:r w:rsidRPr="007E46CC">
              <w:rPr>
                <w:sz w:val="20"/>
              </w:rPr>
              <w:t>llowances</w:t>
            </w:r>
          </w:p>
        </w:tc>
        <w:tc>
          <w:tcPr>
            <w:tcW w:w="2897" w:type="dxa"/>
            <w:shd w:val="clear" w:color="auto" w:fill="D9E2F3"/>
            <w:hideMark/>
          </w:tcPr>
          <w:p w14:paraId="4DC930A8" w14:textId="77777777" w:rsidR="00D86B9D" w:rsidRPr="007E46CC" w:rsidRDefault="00D86B9D" w:rsidP="007E46CC">
            <w:pPr>
              <w:pStyle w:val="TableText"/>
              <w:spacing w:before="0" w:after="0" w:line="240" w:lineRule="auto"/>
              <w:rPr>
                <w:sz w:val="20"/>
              </w:rPr>
            </w:pPr>
            <w:r w:rsidRPr="007E46CC">
              <w:rPr>
                <w:sz w:val="20"/>
              </w:rPr>
              <w:t xml:space="preserve">Improved </w:t>
            </w:r>
            <w:r w:rsidR="00DE48A5" w:rsidRPr="007E46CC">
              <w:rPr>
                <w:sz w:val="20"/>
              </w:rPr>
              <w:t>c</w:t>
            </w:r>
            <w:r w:rsidRPr="007E46CC">
              <w:rPr>
                <w:sz w:val="20"/>
              </w:rPr>
              <w:t>ookstoves in Kenya (Global Alliance for Clean Cookstoves)</w:t>
            </w:r>
          </w:p>
        </w:tc>
      </w:tr>
      <w:tr w:rsidR="00D86B9D" w:rsidRPr="007E46CC" w14:paraId="728BEE9E" w14:textId="77777777" w:rsidTr="000056BB">
        <w:tc>
          <w:tcPr>
            <w:tcW w:w="1809" w:type="dxa"/>
            <w:shd w:val="clear" w:color="auto" w:fill="auto"/>
          </w:tcPr>
          <w:p w14:paraId="06AB2D4F" w14:textId="77777777" w:rsidR="00D86B9D" w:rsidRPr="007E46CC" w:rsidRDefault="00D86B9D" w:rsidP="007E46CC">
            <w:pPr>
              <w:pStyle w:val="TableText"/>
              <w:spacing w:before="0" w:after="0" w:line="240" w:lineRule="auto"/>
              <w:rPr>
                <w:sz w:val="20"/>
              </w:rPr>
            </w:pPr>
            <w:r w:rsidRPr="007E46CC">
              <w:rPr>
                <w:sz w:val="20"/>
              </w:rPr>
              <w:t xml:space="preserve">Public </w:t>
            </w:r>
            <w:r w:rsidR="00DE48A5" w:rsidRPr="007E46CC">
              <w:rPr>
                <w:sz w:val="20"/>
              </w:rPr>
              <w:t>i</w:t>
            </w:r>
            <w:r w:rsidRPr="007E46CC">
              <w:rPr>
                <w:sz w:val="20"/>
              </w:rPr>
              <w:t>nformation</w:t>
            </w:r>
          </w:p>
        </w:tc>
        <w:tc>
          <w:tcPr>
            <w:tcW w:w="4536" w:type="dxa"/>
            <w:shd w:val="clear" w:color="auto" w:fill="auto"/>
          </w:tcPr>
          <w:p w14:paraId="6FF5F4B5" w14:textId="77777777" w:rsidR="00D86B9D" w:rsidRPr="007E46CC" w:rsidRDefault="00D86B9D" w:rsidP="007E46CC">
            <w:pPr>
              <w:pStyle w:val="TableText"/>
              <w:spacing w:before="0" w:after="0" w:line="240" w:lineRule="auto"/>
              <w:rPr>
                <w:sz w:val="20"/>
              </w:rPr>
            </w:pPr>
            <w:proofErr w:type="spellStart"/>
            <w:proofErr w:type="gramStart"/>
            <w:r w:rsidRPr="007E46CC">
              <w:rPr>
                <w:sz w:val="20"/>
              </w:rPr>
              <w:t>Information</w:t>
            </w:r>
            <w:r w:rsidR="00DE48A5" w:rsidRPr="007E46CC">
              <w:rPr>
                <w:sz w:val="20"/>
              </w:rPr>
              <w:t>,f</w:t>
            </w:r>
            <w:r w:rsidRPr="007E46CC">
              <w:rPr>
                <w:sz w:val="20"/>
              </w:rPr>
              <w:t>orecasts</w:t>
            </w:r>
            <w:proofErr w:type="spellEnd"/>
            <w:proofErr w:type="gramEnd"/>
            <w:r w:rsidRPr="007E46CC">
              <w:rPr>
                <w:sz w:val="20"/>
              </w:rPr>
              <w:t xml:space="preserve">, </w:t>
            </w:r>
            <w:r w:rsidR="00DE48A5" w:rsidRPr="007E46CC">
              <w:rPr>
                <w:sz w:val="20"/>
              </w:rPr>
              <w:t>l</w:t>
            </w:r>
            <w:r w:rsidRPr="007E46CC">
              <w:rPr>
                <w:sz w:val="20"/>
              </w:rPr>
              <w:t xml:space="preserve">abelling and </w:t>
            </w:r>
            <w:r w:rsidR="00DE48A5" w:rsidRPr="007E46CC">
              <w:rPr>
                <w:sz w:val="20"/>
              </w:rPr>
              <w:t>b</w:t>
            </w:r>
            <w:r w:rsidRPr="007E46CC">
              <w:rPr>
                <w:sz w:val="20"/>
              </w:rPr>
              <w:t xml:space="preserve">randing </w:t>
            </w:r>
          </w:p>
        </w:tc>
        <w:tc>
          <w:tcPr>
            <w:tcW w:w="2897" w:type="dxa"/>
            <w:shd w:val="clear" w:color="auto" w:fill="auto"/>
          </w:tcPr>
          <w:p w14:paraId="49B9A8C2" w14:textId="77777777" w:rsidR="00D86B9D" w:rsidRPr="007E46CC" w:rsidRDefault="00D86B9D" w:rsidP="007E46CC">
            <w:pPr>
              <w:pStyle w:val="TableText"/>
              <w:spacing w:before="0" w:after="0" w:line="240" w:lineRule="auto"/>
              <w:rPr>
                <w:sz w:val="20"/>
              </w:rPr>
            </w:pPr>
            <w:r w:rsidRPr="007E46CC">
              <w:rPr>
                <w:sz w:val="20"/>
              </w:rPr>
              <w:t xml:space="preserve">Provision of </w:t>
            </w:r>
            <w:r w:rsidR="00DE48A5" w:rsidRPr="007E46CC">
              <w:rPr>
                <w:sz w:val="20"/>
              </w:rPr>
              <w:t>r</w:t>
            </w:r>
            <w:r w:rsidRPr="007E46CC">
              <w:rPr>
                <w:sz w:val="20"/>
              </w:rPr>
              <w:t>eal</w:t>
            </w:r>
            <w:r w:rsidR="00DE48A5" w:rsidRPr="007E46CC">
              <w:rPr>
                <w:sz w:val="20"/>
              </w:rPr>
              <w:t>-t</w:t>
            </w:r>
            <w:r w:rsidRPr="007E46CC">
              <w:rPr>
                <w:sz w:val="20"/>
              </w:rPr>
              <w:t xml:space="preserve">ime </w:t>
            </w:r>
            <w:proofErr w:type="spellStart"/>
            <w:r w:rsidR="00DE48A5" w:rsidRPr="007E46CC">
              <w:rPr>
                <w:sz w:val="20"/>
              </w:rPr>
              <w:t>a</w:t>
            </w:r>
            <w:r w:rsidRPr="007E46CC">
              <w:rPr>
                <w:sz w:val="20"/>
              </w:rPr>
              <w:t>ir</w:t>
            </w:r>
            <w:r w:rsidR="00DE48A5" w:rsidRPr="007E46CC">
              <w:rPr>
                <w:sz w:val="20"/>
              </w:rPr>
              <w:t>q</w:t>
            </w:r>
            <w:r w:rsidRPr="007E46CC">
              <w:rPr>
                <w:sz w:val="20"/>
              </w:rPr>
              <w:t>uality</w:t>
            </w:r>
            <w:proofErr w:type="spellEnd"/>
            <w:r w:rsidRPr="007E46CC">
              <w:rPr>
                <w:sz w:val="20"/>
              </w:rPr>
              <w:t xml:space="preserve"> </w:t>
            </w:r>
            <w:r w:rsidR="00DE48A5" w:rsidRPr="007E46CC">
              <w:rPr>
                <w:sz w:val="20"/>
              </w:rPr>
              <w:t>d</w:t>
            </w:r>
            <w:r w:rsidRPr="007E46CC">
              <w:rPr>
                <w:sz w:val="20"/>
              </w:rPr>
              <w:t xml:space="preserve">ata and </w:t>
            </w:r>
            <w:r w:rsidR="00DE48A5" w:rsidRPr="007E46CC">
              <w:rPr>
                <w:sz w:val="20"/>
              </w:rPr>
              <w:t>f</w:t>
            </w:r>
            <w:r w:rsidRPr="007E46CC">
              <w:rPr>
                <w:sz w:val="20"/>
              </w:rPr>
              <w:t>orecasts</w:t>
            </w:r>
          </w:p>
        </w:tc>
      </w:tr>
      <w:tr w:rsidR="00D86B9D" w:rsidRPr="007E46CC" w14:paraId="23531F70" w14:textId="77777777" w:rsidTr="000056BB">
        <w:tc>
          <w:tcPr>
            <w:tcW w:w="1809" w:type="dxa"/>
            <w:shd w:val="clear" w:color="auto" w:fill="D9E2F3"/>
            <w:hideMark/>
          </w:tcPr>
          <w:p w14:paraId="7D4E22EC" w14:textId="77777777" w:rsidR="00D86B9D" w:rsidRPr="007E46CC" w:rsidRDefault="00D86B9D" w:rsidP="007E46CC">
            <w:pPr>
              <w:pStyle w:val="TableText"/>
              <w:spacing w:before="0" w:after="0" w:line="240" w:lineRule="auto"/>
              <w:rPr>
                <w:sz w:val="20"/>
              </w:rPr>
            </w:pPr>
            <w:r w:rsidRPr="007E46CC">
              <w:rPr>
                <w:sz w:val="20"/>
              </w:rPr>
              <w:t xml:space="preserve">International </w:t>
            </w:r>
            <w:r w:rsidR="00DE48A5" w:rsidRPr="007E46CC">
              <w:rPr>
                <w:sz w:val="20"/>
              </w:rPr>
              <w:t>c</w:t>
            </w:r>
            <w:r w:rsidRPr="007E46CC">
              <w:rPr>
                <w:sz w:val="20"/>
              </w:rPr>
              <w:t>ooperation</w:t>
            </w:r>
          </w:p>
        </w:tc>
        <w:tc>
          <w:tcPr>
            <w:tcW w:w="4536" w:type="dxa"/>
            <w:shd w:val="clear" w:color="auto" w:fill="D9E2F3"/>
            <w:hideMark/>
          </w:tcPr>
          <w:p w14:paraId="399EBDEF" w14:textId="77777777" w:rsidR="00D86B9D" w:rsidRPr="007E46CC" w:rsidRDefault="00D86B9D" w:rsidP="007E46CC">
            <w:pPr>
              <w:pStyle w:val="TableText"/>
              <w:spacing w:before="0" w:after="0" w:line="240" w:lineRule="auto"/>
              <w:rPr>
                <w:sz w:val="20"/>
              </w:rPr>
            </w:pPr>
            <w:r w:rsidRPr="007E46CC">
              <w:rPr>
                <w:sz w:val="20"/>
              </w:rPr>
              <w:t xml:space="preserve">Multilateral and </w:t>
            </w:r>
            <w:r w:rsidR="00DE48A5" w:rsidRPr="007E46CC">
              <w:rPr>
                <w:sz w:val="20"/>
              </w:rPr>
              <w:t>b</w:t>
            </w:r>
            <w:r w:rsidRPr="007E46CC">
              <w:rPr>
                <w:sz w:val="20"/>
              </w:rPr>
              <w:t xml:space="preserve">ilateral </w:t>
            </w:r>
            <w:r w:rsidR="00DE48A5" w:rsidRPr="007E46CC">
              <w:rPr>
                <w:sz w:val="20"/>
              </w:rPr>
              <w:t>b</w:t>
            </w:r>
            <w:r w:rsidRPr="007E46CC">
              <w:rPr>
                <w:sz w:val="20"/>
              </w:rPr>
              <w:t xml:space="preserve">inding </w:t>
            </w:r>
            <w:r w:rsidR="00DE48A5" w:rsidRPr="007E46CC">
              <w:rPr>
                <w:sz w:val="20"/>
              </w:rPr>
              <w:t>a</w:t>
            </w:r>
            <w:r w:rsidRPr="007E46CC">
              <w:rPr>
                <w:sz w:val="20"/>
              </w:rPr>
              <w:t xml:space="preserve">greements, </w:t>
            </w:r>
            <w:r w:rsidR="00DE48A5" w:rsidRPr="007E46CC">
              <w:rPr>
                <w:sz w:val="20"/>
              </w:rPr>
              <w:t>v</w:t>
            </w:r>
            <w:r w:rsidRPr="007E46CC">
              <w:rPr>
                <w:sz w:val="20"/>
              </w:rPr>
              <w:t xml:space="preserve">oluntary </w:t>
            </w:r>
            <w:r w:rsidR="00DE48A5" w:rsidRPr="007E46CC">
              <w:rPr>
                <w:sz w:val="20"/>
              </w:rPr>
              <w:t>o</w:t>
            </w:r>
            <w:r w:rsidRPr="007E46CC">
              <w:rPr>
                <w:sz w:val="20"/>
              </w:rPr>
              <w:t>rganizations</w:t>
            </w:r>
          </w:p>
        </w:tc>
        <w:tc>
          <w:tcPr>
            <w:tcW w:w="2897" w:type="dxa"/>
            <w:shd w:val="clear" w:color="auto" w:fill="D9E2F3"/>
            <w:hideMark/>
          </w:tcPr>
          <w:p w14:paraId="19E93997" w14:textId="77777777" w:rsidR="00D86B9D" w:rsidRPr="007E46CC" w:rsidRDefault="00D86B9D" w:rsidP="007E46CC">
            <w:pPr>
              <w:pStyle w:val="TableText"/>
              <w:spacing w:before="0" w:after="0" w:line="240" w:lineRule="auto"/>
              <w:rPr>
                <w:sz w:val="20"/>
              </w:rPr>
            </w:pPr>
            <w:r w:rsidRPr="007E46CC">
              <w:rPr>
                <w:sz w:val="20"/>
              </w:rPr>
              <w:t>ASEAN Agreement on Transboundary Haze</w:t>
            </w:r>
          </w:p>
        </w:tc>
      </w:tr>
    </w:tbl>
    <w:p w14:paraId="46E9CD66" w14:textId="77777777" w:rsidR="00F340B7" w:rsidRPr="004A1A26" w:rsidRDefault="00F340B7" w:rsidP="00B477F5"/>
    <w:p w14:paraId="493CB459" w14:textId="7E9F0606" w:rsidR="00D6593C" w:rsidRDefault="00F32F98" w:rsidP="00B477F5">
      <w:r w:rsidRPr="004A1A26">
        <w:lastRenderedPageBreak/>
        <w:t xml:space="preserve">Policies enacted to address </w:t>
      </w:r>
      <w:r w:rsidR="007A04C9" w:rsidRPr="004A1A26">
        <w:t xml:space="preserve">air pollution, </w:t>
      </w:r>
      <w:r w:rsidRPr="004A1A26">
        <w:t>climate change</w:t>
      </w:r>
      <w:r w:rsidR="00B81F50" w:rsidRPr="004A1A26">
        <w:t xml:space="preserve">, </w:t>
      </w:r>
      <w:r w:rsidR="007A04C9" w:rsidRPr="004A1A26">
        <w:t xml:space="preserve">stratospheric ozone </w:t>
      </w:r>
      <w:proofErr w:type="spellStart"/>
      <w:r w:rsidR="007A04C9" w:rsidRPr="004A1A26">
        <w:t>depletion</w:t>
      </w:r>
      <w:r w:rsidRPr="004A1A26">
        <w:t>and</w:t>
      </w:r>
      <w:proofErr w:type="spellEnd"/>
      <w:r w:rsidRPr="004A1A26">
        <w:t xml:space="preserve"> PBTs should account for the mix of </w:t>
      </w:r>
      <w:r w:rsidR="00F340B7" w:rsidRPr="004A1A26">
        <w:t>emission</w:t>
      </w:r>
      <w:r w:rsidRPr="004A1A26">
        <w:t xml:space="preserve">s, the </w:t>
      </w:r>
      <w:r w:rsidR="007A04C9" w:rsidRPr="004A1A26">
        <w:t xml:space="preserve">atmospheric or environmental </w:t>
      </w:r>
      <w:r w:rsidRPr="004A1A26">
        <w:t xml:space="preserve">lifetime of the pollutant, and its associated benefits and trade-offs (Melamed </w:t>
      </w:r>
      <w:r w:rsidRPr="004A1A26">
        <w:rPr>
          <w:i/>
        </w:rPr>
        <w:t>et al.</w:t>
      </w:r>
      <w:r w:rsidR="006507E9">
        <w:rPr>
          <w:i/>
        </w:rPr>
        <w:t xml:space="preserve"> </w:t>
      </w:r>
      <w:r w:rsidR="00F340B7" w:rsidRPr="004A1A26">
        <w:t>2016</w:t>
      </w:r>
      <w:r w:rsidRPr="004A1A26">
        <w:t xml:space="preserve">). Pertinent questions include: </w:t>
      </w:r>
    </w:p>
    <w:p w14:paraId="7720B643" w14:textId="7116EE17" w:rsidR="00D6593C" w:rsidRDefault="00F32F98" w:rsidP="00295C08">
      <w:pPr>
        <w:pStyle w:val="ListParagraph"/>
        <w:numPr>
          <w:ilvl w:val="0"/>
          <w:numId w:val="14"/>
        </w:numPr>
        <w:spacing w:line="240" w:lineRule="auto"/>
      </w:pPr>
      <w:r w:rsidRPr="004A1A26">
        <w:t xml:space="preserve">how </w:t>
      </w:r>
      <w:r w:rsidR="007A04C9" w:rsidRPr="004A1A26">
        <w:t xml:space="preserve">can </w:t>
      </w:r>
      <w:r w:rsidRPr="004A1A26">
        <w:t>goals for affordable, clean and reliable energy across spatial scales (local, national, regional, global) be achieved by considering possible synergies and trade-</w:t>
      </w:r>
      <w:proofErr w:type="gramStart"/>
      <w:r w:rsidRPr="004A1A26">
        <w:t>offs</w:t>
      </w:r>
      <w:r w:rsidR="00DE48A5" w:rsidRPr="004A1A26">
        <w:t>?</w:t>
      </w:r>
      <w:r w:rsidRPr="004A1A26">
        <w:t>;</w:t>
      </w:r>
      <w:proofErr w:type="gramEnd"/>
      <w:r w:rsidRPr="004A1A26">
        <w:t xml:space="preserve"> </w:t>
      </w:r>
    </w:p>
    <w:p w14:paraId="453EF9D0" w14:textId="7ED995BB" w:rsidR="00D6593C" w:rsidRDefault="00F32F98" w:rsidP="00295C08">
      <w:pPr>
        <w:pStyle w:val="ListParagraph"/>
        <w:numPr>
          <w:ilvl w:val="0"/>
          <w:numId w:val="14"/>
        </w:numPr>
        <w:spacing w:line="240" w:lineRule="auto"/>
      </w:pPr>
      <w:r w:rsidRPr="004A1A26">
        <w:t xml:space="preserve">what synergies </w:t>
      </w:r>
      <w:r w:rsidR="003A008C" w:rsidRPr="004A1A26">
        <w:t xml:space="preserve">and co-benefits </w:t>
      </w:r>
      <w:r w:rsidRPr="004A1A26">
        <w:t xml:space="preserve">between climate policy and air pollution control can be </w:t>
      </w:r>
      <w:proofErr w:type="gramStart"/>
      <w:r w:rsidRPr="004A1A26">
        <w:t>identified</w:t>
      </w:r>
      <w:r w:rsidR="00DE48A5" w:rsidRPr="004A1A26">
        <w:t>?</w:t>
      </w:r>
      <w:r w:rsidRPr="004A1A26">
        <w:t>;</w:t>
      </w:r>
      <w:proofErr w:type="gramEnd"/>
      <w:r w:rsidRPr="004A1A26">
        <w:t xml:space="preserve"> and</w:t>
      </w:r>
    </w:p>
    <w:p w14:paraId="1279A75C" w14:textId="3473A5DD" w:rsidR="00F340B7" w:rsidRPr="004A1A26" w:rsidRDefault="00F32F98" w:rsidP="00295C08">
      <w:pPr>
        <w:pStyle w:val="ListParagraph"/>
        <w:numPr>
          <w:ilvl w:val="0"/>
          <w:numId w:val="14"/>
        </w:numPr>
        <w:spacing w:line="240" w:lineRule="auto"/>
      </w:pPr>
      <w:r w:rsidRPr="004A1A26">
        <w:t xml:space="preserve">how </w:t>
      </w:r>
      <w:r w:rsidR="007A04C9" w:rsidRPr="004A1A26">
        <w:t xml:space="preserve">will </w:t>
      </w:r>
      <w:r w:rsidR="00F340B7" w:rsidRPr="004A1A26">
        <w:t>emission</w:t>
      </w:r>
      <w:r w:rsidRPr="004A1A26">
        <w:t xml:space="preserve">s of greenhouse gases </w:t>
      </w:r>
      <w:r w:rsidR="00DE48A5" w:rsidRPr="004A1A26">
        <w:t>(GHG</w:t>
      </w:r>
      <w:r w:rsidR="00657F46" w:rsidRPr="004A1A26">
        <w:t>s</w:t>
      </w:r>
      <w:r w:rsidR="00DE48A5" w:rsidRPr="004A1A26">
        <w:t xml:space="preserve">) </w:t>
      </w:r>
      <w:r w:rsidRPr="004A1A26">
        <w:t>and air pollutants co-evolve in scenarios with and without policy interventions, such as context-specific regulation of PBTs, climate policy and air pollution control</w:t>
      </w:r>
      <w:r w:rsidR="00DE48A5" w:rsidRPr="004A1A26">
        <w:t>?</w:t>
      </w:r>
    </w:p>
    <w:p w14:paraId="60163E13" w14:textId="53AEE1EE" w:rsidR="00F340B7" w:rsidRPr="004A1A26" w:rsidRDefault="00F32F98" w:rsidP="00B477F5">
      <w:r w:rsidRPr="004A1A26">
        <w:t>From a systems perspective, the existence of various policy instruments and regimes at a range of spati</w:t>
      </w:r>
      <w:r w:rsidR="00D6593C">
        <w:t xml:space="preserve">al and </w:t>
      </w:r>
      <w:r w:rsidRPr="004A1A26">
        <w:t xml:space="preserve">temporal scales brings into sharp focus the complexity of addressing air quality challenges in an integrated and comprehensive manner. This makes it imperative to </w:t>
      </w:r>
      <w:r w:rsidR="00C532B7" w:rsidRPr="004A1A26">
        <w:t xml:space="preserve">take an integrated approach to </w:t>
      </w:r>
      <w:r w:rsidRPr="004A1A26">
        <w:t xml:space="preserve">address potential conflicts and define trade-offs between </w:t>
      </w:r>
      <w:r w:rsidR="00BB7616" w:rsidRPr="004A1A26">
        <w:t xml:space="preserve">environmental </w:t>
      </w:r>
      <w:r w:rsidRPr="004A1A26">
        <w:t xml:space="preserve">policy objectives, as </w:t>
      </w:r>
      <w:r w:rsidR="00F340B7" w:rsidRPr="004A1A26">
        <w:t>well</w:t>
      </w:r>
      <w:r w:rsidRPr="004A1A26">
        <w:t xml:space="preserve"> as to isolate and consolidate policies with possible co-benefits such as improved energy security, urban air quality and human health</w:t>
      </w:r>
      <w:r w:rsidR="00052ABE">
        <w:t xml:space="preserve"> (see Section 11.3)</w:t>
      </w:r>
      <w:r w:rsidRPr="004A1A26">
        <w:t>.</w:t>
      </w:r>
    </w:p>
    <w:p w14:paraId="50584DF2" w14:textId="77777777" w:rsidR="00F340B7" w:rsidRPr="004A1A26" w:rsidRDefault="007A04C9" w:rsidP="00723413">
      <w:pPr>
        <w:pStyle w:val="Heading2"/>
      </w:pPr>
      <w:bookmarkStart w:id="6" w:name="_1fob9te" w:colFirst="0" w:colLast="0"/>
      <w:bookmarkStart w:id="7" w:name="_2et92p0" w:colFirst="0" w:colLast="0"/>
      <w:bookmarkStart w:id="8" w:name="_Toc516842463"/>
      <w:bookmarkEnd w:id="6"/>
      <w:bookmarkEnd w:id="7"/>
      <w:r w:rsidRPr="004A1A26">
        <w:t>Key policies and governance approaches</w:t>
      </w:r>
    </w:p>
    <w:p w14:paraId="66B31E18" w14:textId="77777777" w:rsidR="00F340B7" w:rsidRPr="004A1A26" w:rsidRDefault="00F32F98" w:rsidP="007A04C9">
      <w:pPr>
        <w:pStyle w:val="Heading3"/>
      </w:pPr>
      <w:r w:rsidRPr="004A1A26">
        <w:t xml:space="preserve">Planning </w:t>
      </w:r>
      <w:r w:rsidR="00BE3CE6" w:rsidRPr="004A1A26">
        <w:t>r</w:t>
      </w:r>
      <w:r w:rsidRPr="004A1A26">
        <w:t>egimes</w:t>
      </w:r>
      <w:bookmarkEnd w:id="8"/>
    </w:p>
    <w:p w14:paraId="00966F1E" w14:textId="27354D96" w:rsidR="00F340B7" w:rsidRPr="004A1A26" w:rsidRDefault="0086499D" w:rsidP="00B477F5">
      <w:bookmarkStart w:id="9" w:name="_3dy6vkm" w:colFirst="0" w:colLast="0"/>
      <w:bookmarkStart w:id="10" w:name="_Toc500317235"/>
      <w:bookmarkStart w:id="11" w:name="_Toc500317428"/>
      <w:bookmarkStart w:id="12" w:name="_Toc500334326"/>
      <w:bookmarkEnd w:id="9"/>
      <w:r w:rsidRPr="004A1A26">
        <w:t xml:space="preserve">Planning regimes (or frameworks) establish ambient targets (e.g. concentration standards, total pollutant loads or a change in global mean temperature) and </w:t>
      </w:r>
      <w:r w:rsidR="00F340B7" w:rsidRPr="004A1A26">
        <w:t>emission</w:t>
      </w:r>
      <w:r w:rsidRPr="004A1A26">
        <w:t>s budgets (or ceilings). Clusters of policies are then developed and implemented to meet the targets or budgets.</w:t>
      </w:r>
      <w:r w:rsidR="00F340B7" w:rsidRPr="004A1A26">
        <w:t xml:space="preserve"> Progress</w:t>
      </w:r>
      <w:r w:rsidR="00D6593C">
        <w:t xml:space="preserve"> </w:t>
      </w:r>
      <w:r w:rsidR="00F340B7" w:rsidRPr="004A1A26">
        <w:t>towards</w:t>
      </w:r>
      <w:r w:rsidRPr="004A1A26">
        <w:t xml:space="preserve"> these is monitored</w:t>
      </w:r>
      <w:r w:rsidR="00BE3CE6" w:rsidRPr="004A1A26">
        <w:t>,</w:t>
      </w:r>
      <w:r w:rsidRPr="004A1A26">
        <w:t xml:space="preserve"> and, if necessary, additional policies are developed or existing policies are revised. </w:t>
      </w:r>
      <w:r w:rsidR="002A15D3" w:rsidRPr="004A1A26">
        <w:t>P</w:t>
      </w:r>
      <w:r w:rsidRPr="004A1A26">
        <w:t>lanning regimes are often considered to be fundamental to managing air pollution, climate change, ozone</w:t>
      </w:r>
      <w:r w:rsidR="00BE3CE6" w:rsidRPr="004A1A26">
        <w:t>-</w:t>
      </w:r>
      <w:r w:rsidRPr="004A1A26">
        <w:t>depleting substances (ODSs) and PBTs</w:t>
      </w:r>
      <w:r w:rsidR="00BE3CE6" w:rsidRPr="004A1A26">
        <w:t>,</w:t>
      </w:r>
      <w:r w:rsidRPr="004A1A26">
        <w:t xml:space="preserve"> as they provide a strategic policy framework within which specific </w:t>
      </w:r>
      <w:r w:rsidR="002A15D3" w:rsidRPr="004A1A26">
        <w:t>actions</w:t>
      </w:r>
      <w:r w:rsidR="00D6593C">
        <w:t xml:space="preserve"> </w:t>
      </w:r>
      <w:r w:rsidRPr="004A1A26">
        <w:t>can be integrated.</w:t>
      </w:r>
    </w:p>
    <w:p w14:paraId="263170B2" w14:textId="26BBA483" w:rsidR="00F340B7" w:rsidRPr="004A1A26" w:rsidRDefault="0086499D" w:rsidP="00B477F5">
      <w:r w:rsidRPr="004A1A26">
        <w:t>Ambient concentration standards or other environmental targets define the desired state of the environment, often linked to cause</w:t>
      </w:r>
      <w:r w:rsidR="00BE3CE6" w:rsidRPr="004A1A26">
        <w:t>–</w:t>
      </w:r>
      <w:r w:rsidRPr="004A1A26">
        <w:t xml:space="preserve">effect relationships in relation to human health. Emissions budgets, pollutant </w:t>
      </w:r>
      <w:proofErr w:type="gramStart"/>
      <w:r w:rsidRPr="004A1A26">
        <w:t>loads</w:t>
      </w:r>
      <w:proofErr w:type="gramEnd"/>
      <w:r w:rsidRPr="004A1A26">
        <w:t xml:space="preserve"> or ceilings are the estimated levels of pressure that still enable achievement of the desired state, or present a no-effect threshold (e.g. critical loads/levels). As an example, the </w:t>
      </w:r>
      <w:bookmarkStart w:id="13" w:name="_Hlk526926673"/>
      <w:r w:rsidRPr="004A1A26">
        <w:t xml:space="preserve">US National Ambient Air Quality Standards (NAAQS) </w:t>
      </w:r>
      <w:bookmarkEnd w:id="13"/>
      <w:r w:rsidRPr="004A1A26">
        <w:t xml:space="preserve">are standards for harmful pollutants established by the US Environmental Protection Agency (EPA) under authority of the Clean Air Act (42 U.S.C. </w:t>
      </w:r>
      <w:r w:rsidR="00F340B7" w:rsidRPr="004A1A26">
        <w:t>7,401</w:t>
      </w:r>
      <w:r w:rsidRPr="004A1A26">
        <w:t xml:space="preserve"> et seq.). These standards are applied for outdoor air throughout the country (</w:t>
      </w:r>
      <w:r w:rsidR="004651D6" w:rsidRPr="004A1A26">
        <w:t>United States Environmental Protection Agency 201</w:t>
      </w:r>
      <w:r w:rsidR="00E94C7D">
        <w:t>6</w:t>
      </w:r>
      <w:r w:rsidR="004651D6" w:rsidRPr="004A1A26">
        <w:t>)</w:t>
      </w:r>
      <w:r w:rsidR="00D6593C">
        <w:t xml:space="preserve"> </w:t>
      </w:r>
      <w:r w:rsidRPr="004A1A26">
        <w:t>and aim to protect human health from harmful air pollution.</w:t>
      </w:r>
    </w:p>
    <w:p w14:paraId="51BD293E" w14:textId="77777777" w:rsidR="00F340B7" w:rsidRPr="004A1A26" w:rsidRDefault="0086499D" w:rsidP="00B477F5">
      <w:r w:rsidRPr="004A1A26">
        <w:lastRenderedPageBreak/>
        <w:t>Emissions budgets can be related to environmental target</w:t>
      </w:r>
      <w:r w:rsidR="00BB00D7" w:rsidRPr="004A1A26">
        <w:t>s</w:t>
      </w:r>
      <w:r w:rsidRPr="004A1A26">
        <w:t xml:space="preserve"> using quantitative (e.g. atmospheric or climate) models</w:t>
      </w:r>
      <w:r w:rsidR="00BB00D7" w:rsidRPr="004A1A26">
        <w:t xml:space="preserve"> properly evaluated against field observations</w:t>
      </w:r>
      <w:r w:rsidRPr="004A1A26">
        <w:t xml:space="preserve">. </w:t>
      </w:r>
      <w:r w:rsidR="00B05F3C" w:rsidRPr="004A1A26">
        <w:t>In the case of secondary pollutants</w:t>
      </w:r>
      <w:r w:rsidR="007A4613" w:rsidRPr="004A1A26">
        <w:t xml:space="preserve"> (which are created in the atmosphere) or pollutants that have long lifetimes in the environment, the relationship between </w:t>
      </w:r>
      <w:r w:rsidR="00F340B7" w:rsidRPr="004A1A26">
        <w:t>emission</w:t>
      </w:r>
      <w:r w:rsidR="007A4613" w:rsidRPr="004A1A26">
        <w:t xml:space="preserve">s and ambient concentrations may not be linear. </w:t>
      </w:r>
      <w:r w:rsidRPr="004A1A26">
        <w:t xml:space="preserve">Making a causal linkage between </w:t>
      </w:r>
      <w:r w:rsidR="00F340B7" w:rsidRPr="004A1A26">
        <w:t>emission</w:t>
      </w:r>
      <w:r w:rsidRPr="004A1A26">
        <w:t xml:space="preserve">s and the desired state is often important to justify the extent or costs of </w:t>
      </w:r>
      <w:r w:rsidR="00F340B7" w:rsidRPr="004A1A26">
        <w:t>emission</w:t>
      </w:r>
      <w:r w:rsidRPr="004A1A26">
        <w:t xml:space="preserve">s controls or other policies and requires a significant amount of information (as inputs to the model) and expertise. However, in cases where </w:t>
      </w:r>
      <w:r w:rsidR="00F340B7" w:rsidRPr="004A1A26">
        <w:t>emission</w:t>
      </w:r>
      <w:r w:rsidRPr="004A1A26">
        <w:t xml:space="preserve">s are </w:t>
      </w:r>
      <w:proofErr w:type="gramStart"/>
      <w:r w:rsidRPr="004A1A26">
        <w:t>high</w:t>
      </w:r>
      <w:proofErr w:type="gramEnd"/>
      <w:r w:rsidRPr="004A1A26">
        <w:t xml:space="preserve"> and the government</w:t>
      </w:r>
      <w:r w:rsidR="00F340B7" w:rsidRPr="004A1A26">
        <w:t>’</w:t>
      </w:r>
      <w:r w:rsidRPr="004A1A26">
        <w:t xml:space="preserve">s technical planning capacity is low, it is often not necessary to quantify the linkage between policies and the desired state to justify some control measures on the largest sources of </w:t>
      </w:r>
      <w:r w:rsidR="00F340B7" w:rsidRPr="004A1A26">
        <w:t>emission</w:t>
      </w:r>
      <w:r w:rsidRPr="004A1A26">
        <w:t xml:space="preserve">s. It may be </w:t>
      </w:r>
      <w:proofErr w:type="gramStart"/>
      <w:r w:rsidRPr="004A1A26">
        <w:t>sufficient</w:t>
      </w:r>
      <w:proofErr w:type="gramEnd"/>
      <w:r w:rsidRPr="004A1A26">
        <w:t xml:space="preserve"> to qualitatively demonstrate that the sources contribute to adverse impacts and that there </w:t>
      </w:r>
      <w:r w:rsidR="00F340B7" w:rsidRPr="004A1A26">
        <w:t>would be</w:t>
      </w:r>
      <w:r w:rsidRPr="004A1A26">
        <w:t xml:space="preserve"> benefits from controls, with </w:t>
      </w:r>
      <w:r w:rsidR="00F340B7" w:rsidRPr="004A1A26">
        <w:t>progress</w:t>
      </w:r>
      <w:r w:rsidRPr="004A1A26">
        <w:t xml:space="preserve"> towards long-term objectives being achieved through implementation.</w:t>
      </w:r>
    </w:p>
    <w:p w14:paraId="60E406ED" w14:textId="493EF95B" w:rsidR="00F340B7" w:rsidRPr="004A1A26" w:rsidRDefault="0086499D" w:rsidP="00B477F5">
      <w:r w:rsidRPr="004A1A26">
        <w:t xml:space="preserve">Linked to </w:t>
      </w:r>
      <w:r w:rsidR="00F340B7" w:rsidRPr="004A1A26">
        <w:t>emission</w:t>
      </w:r>
      <w:r w:rsidR="00657F46" w:rsidRPr="004A1A26">
        <w:t>s</w:t>
      </w:r>
      <w:r w:rsidRPr="004A1A26">
        <w:t xml:space="preserve"> budgets, </w:t>
      </w:r>
      <w:r w:rsidR="00F340B7" w:rsidRPr="004A1A26">
        <w:t>emission</w:t>
      </w:r>
      <w:r w:rsidR="00657F46" w:rsidRPr="004A1A26">
        <w:t>s</w:t>
      </w:r>
      <w:r w:rsidRPr="004A1A26">
        <w:t xml:space="preserve"> trading schemes have been introduced </w:t>
      </w:r>
      <w:proofErr w:type="gramStart"/>
      <w:r w:rsidRPr="004A1A26">
        <w:t>in particular for</w:t>
      </w:r>
      <w:proofErr w:type="gramEnd"/>
      <w:r w:rsidRPr="004A1A26">
        <w:t xml:space="preserve"> </w:t>
      </w:r>
      <w:r w:rsidR="00657F46" w:rsidRPr="004A1A26">
        <w:t>GHGs</w:t>
      </w:r>
      <w:r w:rsidRPr="004A1A26">
        <w:t xml:space="preserve">, where the location of </w:t>
      </w:r>
      <w:r w:rsidR="00F340B7" w:rsidRPr="004A1A26">
        <w:t>emission</w:t>
      </w:r>
      <w:r w:rsidR="00657F46" w:rsidRPr="004A1A26">
        <w:t>s</w:t>
      </w:r>
      <w:r w:rsidRPr="004A1A26">
        <w:t xml:space="preserve"> matters less in contrast to air pollutants. In December </w:t>
      </w:r>
      <w:r w:rsidR="00F340B7" w:rsidRPr="004A1A26">
        <w:t>2017</w:t>
      </w:r>
      <w:r w:rsidRPr="004A1A26">
        <w:t xml:space="preserve">, China launched its </w:t>
      </w:r>
      <w:r w:rsidR="00F340B7" w:rsidRPr="004A1A26">
        <w:t>emission</w:t>
      </w:r>
      <w:r w:rsidRPr="004A1A26">
        <w:t>s trading system (</w:t>
      </w:r>
      <w:r w:rsidR="00E94C7D" w:rsidRPr="00E94C7D">
        <w:rPr>
          <w:lang w:eastAsia="zh-CN"/>
        </w:rPr>
        <w:t>United Nations Framework Convention on Climate Change</w:t>
      </w:r>
      <w:r w:rsidR="001556E2">
        <w:rPr>
          <w:lang w:eastAsia="zh-CN"/>
        </w:rPr>
        <w:t xml:space="preserve"> </w:t>
      </w:r>
      <w:r w:rsidR="00E94C7D" w:rsidRPr="00E94C7D">
        <w:rPr>
          <w:lang w:eastAsia="zh-CN"/>
        </w:rPr>
        <w:t>[UNFCCC]</w:t>
      </w:r>
      <w:r w:rsidR="00E94C7D">
        <w:rPr>
          <w:lang w:eastAsia="zh-CN"/>
        </w:rPr>
        <w:t xml:space="preserve"> 2017</w:t>
      </w:r>
      <w:r w:rsidR="00153CD8">
        <w:rPr>
          <w:lang w:eastAsia="zh-CN"/>
        </w:rPr>
        <w:t>a</w:t>
      </w:r>
      <w:r w:rsidRPr="004A1A26">
        <w:t xml:space="preserve">), which will </w:t>
      </w:r>
      <w:r w:rsidR="001556E2">
        <w:t>§</w:t>
      </w:r>
      <w:r w:rsidRPr="004A1A26">
        <w:t>initially cover only the electricity sector. However, it is set to be the world</w:t>
      </w:r>
      <w:r w:rsidR="00F340B7" w:rsidRPr="004A1A26">
        <w:t>’</w:t>
      </w:r>
      <w:r w:rsidRPr="004A1A26">
        <w:t>s largest system of its sort and accounts for approx</w:t>
      </w:r>
      <w:r w:rsidR="000F3F65" w:rsidRPr="004A1A26">
        <w:t>imately</w:t>
      </w:r>
      <w:r w:rsidR="00D6593C">
        <w:t xml:space="preserve"> </w:t>
      </w:r>
      <w:r w:rsidR="007A4613" w:rsidRPr="004A1A26">
        <w:t>3</w:t>
      </w:r>
      <w:r w:rsidR="00D6593C">
        <w:t xml:space="preserve"> </w:t>
      </w:r>
      <w:r w:rsidR="00F340B7" w:rsidRPr="004A1A26">
        <w:t>billion</w:t>
      </w:r>
      <w:r w:rsidR="00D6593C">
        <w:t xml:space="preserve"> </w:t>
      </w:r>
      <w:r w:rsidR="00F340B7" w:rsidRPr="004A1A26">
        <w:t>tons</w:t>
      </w:r>
      <w:r w:rsidRPr="004A1A26">
        <w:t xml:space="preserve"> of traded CO</w:t>
      </w:r>
      <w:r w:rsidRPr="004A1A26">
        <w:rPr>
          <w:vertAlign w:val="subscript"/>
        </w:rPr>
        <w:t>2</w:t>
      </w:r>
      <w:r w:rsidRPr="004A1A26">
        <w:t xml:space="preserve">. A similar system is in place in Europe, with approximately 2 </w:t>
      </w:r>
      <w:r w:rsidR="00F340B7" w:rsidRPr="004A1A26">
        <w:t>billion</w:t>
      </w:r>
      <w:r w:rsidR="00D6593C">
        <w:t xml:space="preserve"> </w:t>
      </w:r>
      <w:r w:rsidR="00F340B7" w:rsidRPr="004A1A26">
        <w:t>tons</w:t>
      </w:r>
      <w:r w:rsidRPr="004A1A26">
        <w:t xml:space="preserve"> traded (</w:t>
      </w:r>
      <w:r w:rsidR="00084F97" w:rsidRPr="004A1A26">
        <w:t>European Commission 2018</w:t>
      </w:r>
      <w:r w:rsidRPr="004A1A26">
        <w:t>). Similar trading schemes exist in several countries and regions</w:t>
      </w:r>
      <w:r w:rsidR="00745563" w:rsidRPr="004A1A26">
        <w:rPr>
          <w:rStyle w:val="Hyperlink"/>
        </w:rPr>
        <w:t xml:space="preserve"> </w:t>
      </w:r>
      <w:r w:rsidR="006C01AF">
        <w:rPr>
          <w:rStyle w:val="Hyperlink"/>
          <w:color w:val="auto"/>
        </w:rPr>
        <w:t>(</w:t>
      </w:r>
      <w:r w:rsidR="00745563" w:rsidRPr="006C01AF">
        <w:t>Carbon Market Data 2018</w:t>
      </w:r>
      <w:r w:rsidRPr="006C01AF">
        <w:t xml:space="preserve">). By setting </w:t>
      </w:r>
      <w:r w:rsidR="00F340B7" w:rsidRPr="006C01AF">
        <w:t>emission</w:t>
      </w:r>
      <w:r w:rsidR="001C48AE" w:rsidRPr="006C01AF">
        <w:t>s</w:t>
      </w:r>
      <w:r w:rsidRPr="006C01AF">
        <w:t xml:space="preserve"> budgets, which may gradually be constrained further</w:t>
      </w:r>
      <w:r w:rsidRPr="004A1A26">
        <w:t xml:space="preserve">, prices for traded </w:t>
      </w:r>
      <w:r w:rsidR="00F340B7" w:rsidRPr="004A1A26">
        <w:t>emission</w:t>
      </w:r>
      <w:r w:rsidRPr="004A1A26">
        <w:t>s may be adjusted.</w:t>
      </w:r>
    </w:p>
    <w:p w14:paraId="26EA9AB3" w14:textId="436A619C" w:rsidR="00F340B7" w:rsidRPr="004A1A26" w:rsidRDefault="0086499D" w:rsidP="00B477F5">
      <w:r w:rsidRPr="004A1A26">
        <w:t xml:space="preserve">As noted in section </w:t>
      </w:r>
      <w:r w:rsidR="00BB7616" w:rsidRPr="004A1A26">
        <w:t>5.</w:t>
      </w:r>
      <w:r w:rsidR="00E4599E">
        <w:t>5</w:t>
      </w:r>
      <w:r w:rsidRPr="004A1A26">
        <w:t xml:space="preserve">, countries have identified different ambient concentration standards based on their own interpretation of the </w:t>
      </w:r>
      <w:r w:rsidR="00F340B7" w:rsidRPr="004A1A26">
        <w:t>epidemiological</w:t>
      </w:r>
      <w:r w:rsidRPr="004A1A26">
        <w:t xml:space="preserve"> evidence on relationships between environmental state and health effects; their existing levels of air pollution; and their own perceptions about their ability to achieve decreases in air pollution. The World Health Organization (WHO) has established guidelines and interim targets (</w:t>
      </w:r>
      <w:r w:rsidR="00D95BBD" w:rsidRPr="004A1A26">
        <w:t xml:space="preserve">WHO </w:t>
      </w:r>
      <w:r w:rsidR="0055094B" w:rsidRPr="004A1A26">
        <w:t>2018</w:t>
      </w:r>
      <w:r w:rsidRPr="004A1A26">
        <w:t xml:space="preserve">) that </w:t>
      </w:r>
      <w:r w:rsidR="001C48AE" w:rsidRPr="004A1A26">
        <w:t xml:space="preserve">countries </w:t>
      </w:r>
      <w:r w:rsidRPr="004A1A26">
        <w:t>can use</w:t>
      </w:r>
      <w:r w:rsidR="00D6593C">
        <w:t xml:space="preserve"> </w:t>
      </w:r>
      <w:r w:rsidRPr="004A1A26">
        <w:t xml:space="preserve">to establish their own standards and targets. As WHO and individual countries establish or revise their ambient standards based on new information, other countries often take note of the changes and consider whether to make similar changes to their own standards. For the protection of sensitive habitats and ecosystems, critical loads and critical levels have been set in the context of the </w:t>
      </w:r>
      <w:r w:rsidR="00982AE9" w:rsidRPr="004A1A26">
        <w:t>United Nations Economic Commission for Europe (</w:t>
      </w:r>
      <w:r w:rsidRPr="004A1A26">
        <w:t>UNECE</w:t>
      </w:r>
      <w:r w:rsidR="00982AE9" w:rsidRPr="004A1A26">
        <w:t>)</w:t>
      </w:r>
      <w:r w:rsidRPr="004A1A26">
        <w:t xml:space="preserve"> Convention</w:t>
      </w:r>
      <w:r w:rsidR="007A4613" w:rsidRPr="004A1A26">
        <w:t xml:space="preserve"> on Long-range Transboundary Air Pollution (CLRTAP)</w:t>
      </w:r>
      <w:r w:rsidRPr="004A1A26">
        <w:t>, initially focusing on acidification in the early 19</w:t>
      </w:r>
      <w:r w:rsidR="007A4613" w:rsidRPr="004A1A26">
        <w:t>8</w:t>
      </w:r>
      <w:r w:rsidRPr="004A1A26">
        <w:t xml:space="preserve">0s, and later extended to include nutrient critical loads and ammonia </w:t>
      </w:r>
      <w:r w:rsidR="004F323A" w:rsidRPr="004A1A26">
        <w:t>(NH</w:t>
      </w:r>
      <w:r w:rsidR="004F323A" w:rsidRPr="004A1A26">
        <w:rPr>
          <w:vertAlign w:val="subscript"/>
        </w:rPr>
        <w:t>3</w:t>
      </w:r>
      <w:r w:rsidR="004F323A" w:rsidRPr="004A1A26">
        <w:t xml:space="preserve">) </w:t>
      </w:r>
      <w:r w:rsidRPr="004A1A26">
        <w:t>critical levels based on growing evidence of ecosystem damage and biodiversity losses even at lower concentration and deposition levels, stemming</w:t>
      </w:r>
      <w:r w:rsidR="001C48AE" w:rsidRPr="004A1A26">
        <w:t>,</w:t>
      </w:r>
      <w:r w:rsidRPr="004A1A26">
        <w:t xml:space="preserve"> for instance</w:t>
      </w:r>
      <w:r w:rsidR="001C48AE" w:rsidRPr="004A1A26">
        <w:t>,</w:t>
      </w:r>
      <w:r w:rsidRPr="004A1A26">
        <w:t xml:space="preserve"> from agricul</w:t>
      </w:r>
      <w:r w:rsidR="00442547" w:rsidRPr="004A1A26">
        <w:t xml:space="preserve">tural </w:t>
      </w:r>
      <w:r w:rsidR="004F323A" w:rsidRPr="004A1A26">
        <w:t>NH</w:t>
      </w:r>
      <w:r w:rsidR="004F323A" w:rsidRPr="004A1A26">
        <w:rPr>
          <w:vertAlign w:val="subscript"/>
        </w:rPr>
        <w:t>3</w:t>
      </w:r>
      <w:r w:rsidR="00570807" w:rsidRPr="00570807">
        <w:t xml:space="preserve"> </w:t>
      </w:r>
      <w:r w:rsidR="00F340B7" w:rsidRPr="004A1A26">
        <w:t>emission</w:t>
      </w:r>
      <w:r w:rsidR="00442547" w:rsidRPr="004A1A26">
        <w:t>s (Sutton, Reis and Baker</w:t>
      </w:r>
      <w:r w:rsidR="00E94C7D">
        <w:t xml:space="preserve"> eds.</w:t>
      </w:r>
      <w:r w:rsidR="00442547" w:rsidRPr="004A1A26">
        <w:t xml:space="preserve"> </w:t>
      </w:r>
      <w:r w:rsidR="00F340B7" w:rsidRPr="004A1A26">
        <w:t>2009</w:t>
      </w:r>
      <w:r w:rsidRPr="004A1A26">
        <w:t>).</w:t>
      </w:r>
    </w:p>
    <w:p w14:paraId="113D8E63" w14:textId="5FF52C68" w:rsidR="00F340B7" w:rsidRPr="004A1A26" w:rsidRDefault="0086499D" w:rsidP="00B477F5">
      <w:r w:rsidRPr="004A1A26">
        <w:t xml:space="preserve">Emissions budgets and ceilings not only provide a way of evaluating whether a suite of policies </w:t>
      </w:r>
      <w:r w:rsidR="00F340B7" w:rsidRPr="004A1A26">
        <w:t>would be</w:t>
      </w:r>
      <w:r w:rsidRPr="004A1A26">
        <w:t xml:space="preserve"> expected to achieve the relevant environmental targets</w:t>
      </w:r>
      <w:r w:rsidR="001C48AE" w:rsidRPr="004A1A26">
        <w:t>;</w:t>
      </w:r>
      <w:r w:rsidR="00570807">
        <w:t xml:space="preserve"> </w:t>
      </w:r>
      <w:r w:rsidR="001C48AE" w:rsidRPr="004A1A26">
        <w:t>they</w:t>
      </w:r>
      <w:r w:rsidRPr="004A1A26">
        <w:t xml:space="preserve"> also </w:t>
      </w:r>
      <w:r w:rsidRPr="004A1A26">
        <w:lastRenderedPageBreak/>
        <w:t xml:space="preserve">provide a way of apportioning responsibility for achieving environmental targets among regions, jurisdictions, sectors or individual sources. For example, </w:t>
      </w:r>
      <w:r w:rsidR="00F340B7" w:rsidRPr="004A1A26">
        <w:t>emission</w:t>
      </w:r>
      <w:r w:rsidRPr="004A1A26">
        <w:t xml:space="preserve">s budgets have been applied at the national and state level in air pollution planning and at the national level in international agreements to mitigate ODS </w:t>
      </w:r>
      <w:r w:rsidR="00F340B7" w:rsidRPr="004A1A26">
        <w:t>emission</w:t>
      </w:r>
      <w:r w:rsidRPr="004A1A26">
        <w:t xml:space="preserve">s. Within Europe and the UNECE region, the </w:t>
      </w:r>
      <w:r w:rsidR="00F340B7" w:rsidRPr="004A1A26">
        <w:t>1999</w:t>
      </w:r>
      <w:r w:rsidR="00570807">
        <w:t xml:space="preserve"> </w:t>
      </w:r>
      <w:r w:rsidRPr="004A1A26">
        <w:t xml:space="preserve">Gothenburg Protocol </w:t>
      </w:r>
      <w:r w:rsidR="007A4613" w:rsidRPr="004A1A26">
        <w:t>to Abate Acidification, Eutrophication and Ground-level Ozone (as amended) under CLRTAP</w:t>
      </w:r>
      <w:r w:rsidR="0023276F">
        <w:t xml:space="preserve"> </w:t>
      </w:r>
      <w:r w:rsidR="00BF441A" w:rsidRPr="004A1A26">
        <w:t>(</w:t>
      </w:r>
      <w:r w:rsidR="00E94C7D" w:rsidRPr="00E94C7D">
        <w:t>UNECE</w:t>
      </w:r>
      <w:r w:rsidR="00E94C7D">
        <w:t xml:space="preserve"> 2018</w:t>
      </w:r>
      <w:r w:rsidR="00BF441A" w:rsidRPr="004A1A26">
        <w:t xml:space="preserve">) </w:t>
      </w:r>
      <w:r w:rsidRPr="004A1A26">
        <w:t xml:space="preserve">as </w:t>
      </w:r>
      <w:r w:rsidR="00F340B7" w:rsidRPr="004A1A26">
        <w:t>well</w:t>
      </w:r>
      <w:r w:rsidRPr="004A1A26">
        <w:t xml:space="preserve"> as the </w:t>
      </w:r>
      <w:r w:rsidR="00256CFC" w:rsidRPr="004A1A26">
        <w:t>European Union (</w:t>
      </w:r>
      <w:r w:rsidRPr="004A1A26">
        <w:t>EU</w:t>
      </w:r>
      <w:r w:rsidR="00256CFC" w:rsidRPr="004A1A26">
        <w:t>)</w:t>
      </w:r>
      <w:r w:rsidRPr="004A1A26">
        <w:t xml:space="preserve"> National Emission Ceilings Directive</w:t>
      </w:r>
      <w:r w:rsidR="00BF441A" w:rsidRPr="004A1A26">
        <w:t xml:space="preserve"> (European Environment Agency [EEA] </w:t>
      </w:r>
      <w:r w:rsidR="00F340B7" w:rsidRPr="004A1A26">
        <w:t>2016</w:t>
      </w:r>
      <w:r w:rsidR="00400FB6">
        <w:t>a</w:t>
      </w:r>
      <w:r w:rsidR="00BF441A" w:rsidRPr="004A1A26">
        <w:t>)</w:t>
      </w:r>
      <w:r w:rsidR="00570807">
        <w:t xml:space="preserve"> </w:t>
      </w:r>
      <w:r w:rsidRPr="004A1A26">
        <w:t xml:space="preserve">present recent examples of national </w:t>
      </w:r>
      <w:r w:rsidR="00F340B7" w:rsidRPr="004A1A26">
        <w:t>emission</w:t>
      </w:r>
      <w:r w:rsidR="001C48AE" w:rsidRPr="004A1A26">
        <w:t>s</w:t>
      </w:r>
      <w:r w:rsidRPr="004A1A26">
        <w:t xml:space="preserve"> ceilings agreed for pollutants known to contribute to a range of environmental and human health effects.</w:t>
      </w:r>
    </w:p>
    <w:p w14:paraId="018C18C7" w14:textId="09839C28" w:rsidR="00F340B7" w:rsidRPr="004A1A26" w:rsidRDefault="00364053" w:rsidP="00364053">
      <w:r w:rsidRPr="004A1A26">
        <w:t>I</w:t>
      </w:r>
      <w:r w:rsidR="0086499D" w:rsidRPr="004A1A26">
        <w:t xml:space="preserve">n the following case study, </w:t>
      </w:r>
      <w:r w:rsidR="00F340B7" w:rsidRPr="004A1A26">
        <w:t>emission</w:t>
      </w:r>
      <w:r w:rsidR="001C48AE" w:rsidRPr="004A1A26">
        <w:t>s</w:t>
      </w:r>
      <w:r w:rsidR="0086499D" w:rsidRPr="004A1A26">
        <w:t xml:space="preserve"> budgets are applied to long-lived </w:t>
      </w:r>
      <w:r w:rsidR="001C48AE" w:rsidRPr="004A1A26">
        <w:t>GHG</w:t>
      </w:r>
      <w:r w:rsidR="0023276F">
        <w:t xml:space="preserve"> </w:t>
      </w:r>
      <w:r w:rsidR="00F340B7" w:rsidRPr="004A1A26">
        <w:t>emission</w:t>
      </w:r>
      <w:r w:rsidR="0086499D" w:rsidRPr="004A1A26">
        <w:t>s in the United Kingdom.</w:t>
      </w:r>
    </w:p>
    <w:p w14:paraId="769F2F3B" w14:textId="77777777" w:rsidR="00F340B7" w:rsidRPr="0023276F" w:rsidRDefault="00F32F98" w:rsidP="00375A5D">
      <w:pPr>
        <w:pStyle w:val="Heading4"/>
      </w:pPr>
      <w:bookmarkStart w:id="14" w:name="_Toc516842464"/>
      <w:r w:rsidRPr="0023276F">
        <w:t xml:space="preserve">Case </w:t>
      </w:r>
      <w:r w:rsidR="001C48AE" w:rsidRPr="0023276F">
        <w:t>s</w:t>
      </w:r>
      <w:r w:rsidRPr="0023276F">
        <w:t xml:space="preserve">tudy: </w:t>
      </w:r>
      <w:r w:rsidR="001C48AE" w:rsidRPr="0023276F">
        <w:t>T</w:t>
      </w:r>
      <w:r w:rsidRPr="0023276F">
        <w:t xml:space="preserve">he </w:t>
      </w:r>
      <w:r w:rsidR="00F340B7" w:rsidRPr="0023276F">
        <w:t>United Kingdom of Great Britain and Northern Ireland’</w:t>
      </w:r>
      <w:r w:rsidRPr="0023276F">
        <w:t xml:space="preserve">s </w:t>
      </w:r>
      <w:r w:rsidR="001C48AE" w:rsidRPr="0023276F">
        <w:t>e</w:t>
      </w:r>
      <w:r w:rsidRPr="0023276F">
        <w:t xml:space="preserve">nergy and </w:t>
      </w:r>
      <w:r w:rsidR="001C48AE" w:rsidRPr="0023276F">
        <w:t>c</w:t>
      </w:r>
      <w:r w:rsidRPr="0023276F">
        <w:t xml:space="preserve">limate </w:t>
      </w:r>
      <w:r w:rsidR="001C48AE" w:rsidRPr="0023276F">
        <w:t>p</w:t>
      </w:r>
      <w:r w:rsidRPr="0023276F">
        <w:t>olicies</w:t>
      </w:r>
      <w:bookmarkEnd w:id="10"/>
      <w:bookmarkEnd w:id="11"/>
      <w:bookmarkEnd w:id="12"/>
      <w:bookmarkEnd w:id="14"/>
    </w:p>
    <w:p w14:paraId="53E3D954" w14:textId="01ACD96E" w:rsidR="00F340B7" w:rsidRPr="004A1A26" w:rsidRDefault="003B2538" w:rsidP="00B477F5">
      <w:pPr>
        <w:rPr>
          <w:lang w:eastAsia="zh-CN"/>
        </w:rPr>
      </w:pPr>
      <w:bookmarkStart w:id="15" w:name="_ytg263abebo3"/>
      <w:bookmarkStart w:id="16" w:name="_Ref511648191"/>
      <w:bookmarkEnd w:id="15"/>
      <w:r w:rsidRPr="004A1A26">
        <w:t xml:space="preserve">The </w:t>
      </w:r>
      <w:r w:rsidR="00F340B7" w:rsidRPr="004A1A26">
        <w:t>2008</w:t>
      </w:r>
      <w:r w:rsidRPr="004A1A26">
        <w:t xml:space="preserve"> Climate Change Act (</w:t>
      </w:r>
      <w:bookmarkStart w:id="17" w:name="_Hlk526931605"/>
      <w:r w:rsidR="000D3D4C" w:rsidRPr="004A1A26">
        <w:t>United Kingdom of Great Britain and Northern Ireland</w:t>
      </w:r>
      <w:bookmarkEnd w:id="17"/>
      <w:r w:rsidR="0023276F">
        <w:t xml:space="preserve"> </w:t>
      </w:r>
      <w:r w:rsidR="009866E1" w:rsidRPr="004A1A26">
        <w:t>[UK]</w:t>
      </w:r>
      <w:r w:rsidR="0023276F">
        <w:t xml:space="preserve"> </w:t>
      </w:r>
      <w:r w:rsidRPr="004A1A26">
        <w:t xml:space="preserve">Government </w:t>
      </w:r>
      <w:r w:rsidR="00F340B7" w:rsidRPr="004A1A26">
        <w:t>2008</w:t>
      </w:r>
      <w:r w:rsidR="00400FB6">
        <w:t>a</w:t>
      </w:r>
      <w:r w:rsidRPr="004A1A26">
        <w:t>;</w:t>
      </w:r>
      <w:r w:rsidR="0023276F">
        <w:t xml:space="preserve"> </w:t>
      </w:r>
      <w:r w:rsidR="00400FB6">
        <w:t>UK</w:t>
      </w:r>
      <w:r w:rsidRPr="004A1A26">
        <w:t xml:space="preserve"> </w:t>
      </w:r>
      <w:r w:rsidR="001E137D">
        <w:t xml:space="preserve">Government </w:t>
      </w:r>
      <w:r w:rsidR="00F340B7" w:rsidRPr="004A1A26">
        <w:t>2008</w:t>
      </w:r>
      <w:r w:rsidR="00400FB6">
        <w:t>b</w:t>
      </w:r>
      <w:r w:rsidRPr="004A1A26">
        <w:t>) is a</w:t>
      </w:r>
      <w:r w:rsidR="0023276F">
        <w:t xml:space="preserve">n </w:t>
      </w:r>
      <w:r w:rsidRPr="004A1A26">
        <w:t xml:space="preserve">example of how a national policy can be established within an international framework to tackle climate change (including targets and timeframes, carbon prices and </w:t>
      </w:r>
      <w:r w:rsidR="00F340B7" w:rsidRPr="004A1A26">
        <w:t>emission</w:t>
      </w:r>
      <w:r w:rsidRPr="004A1A26">
        <w:t xml:space="preserve">s trading). Legally binding targets aim to </w:t>
      </w:r>
      <w:r w:rsidR="00F340B7" w:rsidRPr="004A1A26">
        <w:t>progress</w:t>
      </w:r>
      <w:r w:rsidRPr="004A1A26">
        <w:t xml:space="preserve">ively reduce </w:t>
      </w:r>
      <w:r w:rsidR="00F340B7" w:rsidRPr="004A1A26">
        <w:t>emission</w:t>
      </w:r>
      <w:r w:rsidRPr="004A1A26">
        <w:t xml:space="preserve">s through five-year carbon budgets </w:t>
      </w:r>
      <w:r w:rsidR="001C48AE" w:rsidRPr="004A1A26">
        <w:t>up to</w:t>
      </w:r>
      <w:r w:rsidR="00F340B7" w:rsidRPr="004A1A26">
        <w:t>2050</w:t>
      </w:r>
      <w:r w:rsidRPr="004A1A26">
        <w:t>, with significant benefits such as international market competitiveness</w:t>
      </w:r>
      <w:r w:rsidR="001C48AE" w:rsidRPr="004A1A26">
        <w:t>;</w:t>
      </w:r>
      <w:r w:rsidRPr="004A1A26">
        <w:t xml:space="preserve"> resource conservation</w:t>
      </w:r>
      <w:r w:rsidR="001C48AE" w:rsidRPr="004A1A26">
        <w:t>;</w:t>
      </w:r>
      <w:r w:rsidRPr="004A1A26">
        <w:t xml:space="preserve"> cost-effective </w:t>
      </w:r>
      <w:r w:rsidR="001C48AE" w:rsidRPr="004A1A26">
        <w:t xml:space="preserve">removal of </w:t>
      </w:r>
      <w:r w:rsidRPr="004A1A26">
        <w:t>barriers</w:t>
      </w:r>
      <w:r w:rsidR="001C48AE" w:rsidRPr="004A1A26">
        <w:t>;</w:t>
      </w:r>
      <w:r w:rsidRPr="004A1A26">
        <w:t xml:space="preserve"> support to low</w:t>
      </w:r>
      <w:r w:rsidR="001C48AE" w:rsidRPr="004A1A26">
        <w:t>-</w:t>
      </w:r>
      <w:r w:rsidRPr="004A1A26">
        <w:t>carbon technol</w:t>
      </w:r>
      <w:r w:rsidR="00F340B7" w:rsidRPr="004A1A26">
        <w:t>ogies</w:t>
      </w:r>
      <w:r w:rsidR="001C48AE" w:rsidRPr="004A1A26">
        <w:t>;</w:t>
      </w:r>
      <w:r w:rsidRPr="004A1A26">
        <w:t xml:space="preserve"> promotion of carbon capture and storage; and considerations </w:t>
      </w:r>
      <w:r w:rsidR="000F3F65" w:rsidRPr="004A1A26">
        <w:t xml:space="preserve">of </w:t>
      </w:r>
      <w:r w:rsidRPr="004A1A26">
        <w:t xml:space="preserve">social implications </w:t>
      </w:r>
      <w:r w:rsidR="001C48AE" w:rsidRPr="004A1A26">
        <w:t xml:space="preserve">such as </w:t>
      </w:r>
      <w:r w:rsidRPr="004A1A26">
        <w:t>fuel poverty. To achieve such aims</w:t>
      </w:r>
      <w:r w:rsidR="00C116F2" w:rsidRPr="004A1A26">
        <w:t>,</w:t>
      </w:r>
      <w:r w:rsidRPr="004A1A26">
        <w:t xml:space="preserve"> practical measures included mandatory </w:t>
      </w:r>
      <w:hyperlink r:id="rId10" w:tooltip="Cap and trade" w:history="1">
        <w:r w:rsidRPr="004A1A26">
          <w:t>cap</w:t>
        </w:r>
        <w:r w:rsidR="00254AEA" w:rsidRPr="004A1A26">
          <w:t>-</w:t>
        </w:r>
        <w:r w:rsidRPr="004A1A26">
          <w:t>and</w:t>
        </w:r>
        <w:r w:rsidR="00254AEA" w:rsidRPr="004A1A26">
          <w:t>-</w:t>
        </w:r>
        <w:r w:rsidRPr="004A1A26">
          <w:t>trade</w:t>
        </w:r>
      </w:hyperlink>
      <w:r w:rsidRPr="004A1A26">
        <w:t xml:space="preserve"> schemes, standards, financing and taxing, innovation strategies and technol</w:t>
      </w:r>
      <w:r w:rsidR="00F340B7" w:rsidRPr="004A1A26">
        <w:t>ogy</w:t>
      </w:r>
      <w:r w:rsidRPr="004A1A26">
        <w:t xml:space="preserve"> deployment (</w:t>
      </w:r>
      <w:r w:rsidR="00F340B7" w:rsidRPr="004A1A26">
        <w:t>U</w:t>
      </w:r>
      <w:r w:rsidR="0062396E" w:rsidRPr="004A1A26">
        <w:t>K</w:t>
      </w:r>
      <w:r w:rsidR="00336462">
        <w:t xml:space="preserve">, </w:t>
      </w:r>
      <w:r w:rsidR="001A2A19" w:rsidRPr="004A1A26">
        <w:t xml:space="preserve">Department of Trade and Industry </w:t>
      </w:r>
      <w:r w:rsidR="00F340B7" w:rsidRPr="004A1A26">
        <w:t>2007</w:t>
      </w:r>
      <w:r w:rsidRPr="004A1A26">
        <w:t>).</w:t>
      </w:r>
    </w:p>
    <w:p w14:paraId="67154A4C" w14:textId="47B8C1D9" w:rsidR="003B2538" w:rsidRPr="004A1A26" w:rsidRDefault="00AA4BDC" w:rsidP="00961F60">
      <w:pPr>
        <w:pStyle w:val="Caption"/>
      </w:pPr>
      <w:r w:rsidRPr="004A1A26">
        <w:t>Table</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Pr="004A1A26">
        <w:t>.</w:t>
      </w:r>
      <w:r w:rsidR="00350B00" w:rsidRPr="004A1A26">
        <w:rPr>
          <w:noProof/>
        </w:rPr>
        <w:fldChar w:fldCharType="begin"/>
      </w:r>
      <w:r w:rsidR="00D169A0" w:rsidRPr="004A1A26">
        <w:rPr>
          <w:noProof/>
        </w:rPr>
        <w:instrText xml:space="preserve"> SEQ Table \* ARABIC \s 1 </w:instrText>
      </w:r>
      <w:r w:rsidR="00350B00" w:rsidRPr="004A1A26">
        <w:rPr>
          <w:noProof/>
        </w:rPr>
        <w:fldChar w:fldCharType="separate"/>
      </w:r>
      <w:r w:rsidR="00430786" w:rsidRPr="004A1A26">
        <w:rPr>
          <w:noProof/>
        </w:rPr>
        <w:t>2</w:t>
      </w:r>
      <w:r w:rsidR="00350B00" w:rsidRPr="004A1A26">
        <w:rPr>
          <w:noProof/>
        </w:rPr>
        <w:fldChar w:fldCharType="end"/>
      </w:r>
      <w:r w:rsidR="00961F60" w:rsidRPr="004A1A26">
        <w:t>:</w:t>
      </w:r>
      <w:r w:rsidR="00AC356D" w:rsidRPr="004A1A26">
        <w:t xml:space="preserve">Summary of </w:t>
      </w:r>
      <w:r w:rsidR="00C116F2" w:rsidRPr="004A1A26">
        <w:t>a</w:t>
      </w:r>
      <w:r w:rsidR="00AC356D" w:rsidRPr="004A1A26">
        <w:t xml:space="preserve">ssessment </w:t>
      </w:r>
      <w:r w:rsidR="00C116F2" w:rsidRPr="004A1A26">
        <w:t>c</w:t>
      </w:r>
      <w:r w:rsidR="00AC356D" w:rsidRPr="004A1A26">
        <w:t>riteria</w:t>
      </w:r>
      <w:r w:rsidR="00686BB3" w:rsidRPr="004A1A26">
        <w:t>:</w:t>
      </w:r>
      <w:r w:rsidR="0023276F">
        <w:t xml:space="preserve"> </w:t>
      </w:r>
      <w:r w:rsidR="00F340B7" w:rsidRPr="004A1A26">
        <w:t>United Kingdom of Great Britain and Northern Ireland’</w:t>
      </w:r>
      <w:r w:rsidR="00AC356D" w:rsidRPr="004A1A26">
        <w:t xml:space="preserve">s </w:t>
      </w:r>
      <w:r w:rsidR="00C116F2" w:rsidRPr="004A1A26">
        <w:t>e</w:t>
      </w:r>
      <w:r w:rsidR="00AC356D" w:rsidRPr="004A1A26">
        <w:t xml:space="preserve">nergy and </w:t>
      </w:r>
      <w:r w:rsidR="00C116F2" w:rsidRPr="004A1A26">
        <w:t>c</w:t>
      </w:r>
      <w:r w:rsidR="00AC356D" w:rsidRPr="004A1A26">
        <w:t xml:space="preserve">limate </w:t>
      </w:r>
      <w:r w:rsidR="00C116F2" w:rsidRPr="004A1A26">
        <w:t>p</w:t>
      </w:r>
      <w:r w:rsidR="00AC356D" w:rsidRPr="004A1A26">
        <w:t>olicies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79"/>
        <w:gridCol w:w="1296"/>
      </w:tblGrid>
      <w:tr w:rsidR="003B2538" w:rsidRPr="007E46CC" w14:paraId="6DF1117E" w14:textId="77777777" w:rsidTr="00AA3430">
        <w:tc>
          <w:tcPr>
            <w:tcW w:w="1445" w:type="dxa"/>
            <w:tcBorders>
              <w:top w:val="single" w:sz="2" w:space="0" w:color="auto"/>
              <w:left w:val="single" w:sz="2" w:space="0" w:color="auto"/>
              <w:bottom w:val="single" w:sz="12" w:space="0" w:color="8EAADB"/>
              <w:right w:val="nil"/>
            </w:tcBorders>
            <w:shd w:val="clear" w:color="auto" w:fill="FFFFFF"/>
          </w:tcPr>
          <w:p w14:paraId="36D03D32" w14:textId="77777777" w:rsidR="003B2538" w:rsidRPr="007E46CC" w:rsidRDefault="003B2538" w:rsidP="007E46CC">
            <w:pPr>
              <w:pStyle w:val="TableText"/>
              <w:spacing w:before="0" w:after="0" w:line="240" w:lineRule="auto"/>
              <w:rPr>
                <w:sz w:val="20"/>
              </w:rPr>
            </w:pPr>
            <w:r w:rsidRPr="007E46CC">
              <w:rPr>
                <w:sz w:val="20"/>
              </w:rPr>
              <w:t>Criterion</w:t>
            </w:r>
          </w:p>
        </w:tc>
        <w:tc>
          <w:tcPr>
            <w:tcW w:w="6660" w:type="dxa"/>
            <w:tcBorders>
              <w:top w:val="single" w:sz="2" w:space="0" w:color="auto"/>
              <w:left w:val="nil"/>
              <w:bottom w:val="single" w:sz="12" w:space="0" w:color="8EAADB"/>
              <w:right w:val="nil"/>
            </w:tcBorders>
            <w:shd w:val="clear" w:color="auto" w:fill="FFFFFF"/>
          </w:tcPr>
          <w:p w14:paraId="6DC87D1B" w14:textId="77777777" w:rsidR="003B2538" w:rsidRPr="007E46CC" w:rsidRDefault="003B2538" w:rsidP="007E46CC">
            <w:pPr>
              <w:pStyle w:val="TableText"/>
              <w:spacing w:before="0" w:after="0" w:line="240" w:lineRule="auto"/>
              <w:rPr>
                <w:sz w:val="20"/>
              </w:rPr>
            </w:pPr>
            <w:r w:rsidRPr="007E46CC">
              <w:rPr>
                <w:sz w:val="20"/>
              </w:rPr>
              <w:t>Description</w:t>
            </w:r>
          </w:p>
        </w:tc>
        <w:tc>
          <w:tcPr>
            <w:tcW w:w="1137" w:type="dxa"/>
            <w:tcBorders>
              <w:top w:val="single" w:sz="2" w:space="0" w:color="auto"/>
              <w:left w:val="nil"/>
              <w:bottom w:val="single" w:sz="12" w:space="0" w:color="8EAADB"/>
              <w:right w:val="single" w:sz="2" w:space="0" w:color="auto"/>
            </w:tcBorders>
            <w:shd w:val="clear" w:color="auto" w:fill="FFFFFF"/>
          </w:tcPr>
          <w:p w14:paraId="3F745BC3" w14:textId="77777777" w:rsidR="003B2538" w:rsidRPr="007E46CC" w:rsidRDefault="003B2538" w:rsidP="007E46CC">
            <w:pPr>
              <w:pStyle w:val="TableText"/>
              <w:spacing w:before="0" w:after="0" w:line="240" w:lineRule="auto"/>
              <w:rPr>
                <w:sz w:val="20"/>
              </w:rPr>
            </w:pPr>
            <w:r w:rsidRPr="007E46CC">
              <w:rPr>
                <w:sz w:val="20"/>
              </w:rPr>
              <w:t>Reference</w:t>
            </w:r>
            <w:r w:rsidR="000056BB" w:rsidRPr="007E46CC">
              <w:rPr>
                <w:sz w:val="20"/>
              </w:rPr>
              <w:t>s</w:t>
            </w:r>
          </w:p>
        </w:tc>
      </w:tr>
      <w:tr w:rsidR="003B2538" w:rsidRPr="007E46CC" w14:paraId="0854EBD6" w14:textId="77777777" w:rsidTr="00AA3430">
        <w:tc>
          <w:tcPr>
            <w:tcW w:w="1445" w:type="dxa"/>
            <w:tcBorders>
              <w:left w:val="single" w:sz="2" w:space="0" w:color="auto"/>
            </w:tcBorders>
            <w:shd w:val="clear" w:color="auto" w:fill="D9E2F3"/>
          </w:tcPr>
          <w:p w14:paraId="5438FDD1" w14:textId="15F17528" w:rsidR="003B2538" w:rsidRPr="007E46CC" w:rsidRDefault="003B2538" w:rsidP="007E46CC">
            <w:pPr>
              <w:pStyle w:val="TableText"/>
              <w:spacing w:before="0" w:after="0" w:line="240" w:lineRule="auto"/>
              <w:rPr>
                <w:sz w:val="20"/>
              </w:rPr>
            </w:pPr>
            <w:r w:rsidRPr="007E46CC">
              <w:rPr>
                <w:sz w:val="20"/>
              </w:rPr>
              <w:t>Success o</w:t>
            </w:r>
            <w:r w:rsidR="00D12479" w:rsidRPr="007E46CC">
              <w:rPr>
                <w:sz w:val="20"/>
              </w:rPr>
              <w:t>r</w:t>
            </w:r>
            <w:r w:rsidR="0023276F">
              <w:rPr>
                <w:sz w:val="20"/>
              </w:rPr>
              <w:t xml:space="preserve"> </w:t>
            </w:r>
            <w:r w:rsidR="00C116F2" w:rsidRPr="007E46CC">
              <w:rPr>
                <w:sz w:val="20"/>
              </w:rPr>
              <w:t>f</w:t>
            </w:r>
            <w:r w:rsidRPr="007E46CC">
              <w:rPr>
                <w:sz w:val="20"/>
              </w:rPr>
              <w:t>ailure</w:t>
            </w:r>
          </w:p>
        </w:tc>
        <w:tc>
          <w:tcPr>
            <w:tcW w:w="6660" w:type="dxa"/>
            <w:shd w:val="clear" w:color="auto" w:fill="D9E2F3"/>
          </w:tcPr>
          <w:p w14:paraId="296E1C42" w14:textId="40916A1E" w:rsidR="003B2538" w:rsidRPr="007E46CC" w:rsidRDefault="003B2538" w:rsidP="007E46CC">
            <w:pPr>
              <w:pStyle w:val="TableText"/>
              <w:spacing w:before="0" w:after="0" w:line="240" w:lineRule="auto"/>
              <w:rPr>
                <w:sz w:val="20"/>
              </w:rPr>
            </w:pPr>
            <w:r w:rsidRPr="007E46CC">
              <w:rPr>
                <w:sz w:val="20"/>
              </w:rPr>
              <w:t xml:space="preserve">GHG </w:t>
            </w:r>
            <w:r w:rsidR="00F340B7" w:rsidRPr="007E46CC">
              <w:rPr>
                <w:sz w:val="20"/>
              </w:rPr>
              <w:t>emission</w:t>
            </w:r>
            <w:r w:rsidRPr="007E46CC">
              <w:rPr>
                <w:sz w:val="20"/>
              </w:rPr>
              <w:t xml:space="preserve">s </w:t>
            </w:r>
            <w:r w:rsidR="008B390C" w:rsidRPr="007E46CC">
              <w:rPr>
                <w:sz w:val="20"/>
              </w:rPr>
              <w:t xml:space="preserve">reduced by </w:t>
            </w:r>
            <w:r w:rsidRPr="007E46CC">
              <w:rPr>
                <w:sz w:val="20"/>
              </w:rPr>
              <w:t>5</w:t>
            </w:r>
            <w:r w:rsidR="00F340B7" w:rsidRPr="007E46CC">
              <w:rPr>
                <w:sz w:val="20"/>
              </w:rPr>
              <w:t> per cent</w:t>
            </w:r>
            <w:r w:rsidRPr="007E46CC">
              <w:rPr>
                <w:sz w:val="20"/>
              </w:rPr>
              <w:t>/y</w:t>
            </w:r>
            <w:r w:rsidR="00C116F2" w:rsidRPr="007E46CC">
              <w:rPr>
                <w:sz w:val="20"/>
              </w:rPr>
              <w:t>ea</w:t>
            </w:r>
            <w:r w:rsidRPr="007E46CC">
              <w:rPr>
                <w:sz w:val="20"/>
              </w:rPr>
              <w:t xml:space="preserve">r since </w:t>
            </w:r>
            <w:r w:rsidR="00F340B7" w:rsidRPr="007E46CC">
              <w:rPr>
                <w:sz w:val="20"/>
              </w:rPr>
              <w:t>2012</w:t>
            </w:r>
            <w:r w:rsidRPr="007E46CC">
              <w:rPr>
                <w:sz w:val="20"/>
              </w:rPr>
              <w:t>, reaching 42</w:t>
            </w:r>
            <w:r w:rsidR="00F340B7" w:rsidRPr="007E46CC">
              <w:rPr>
                <w:sz w:val="20"/>
              </w:rPr>
              <w:t> per cent</w:t>
            </w:r>
            <w:r w:rsidRPr="007E46CC">
              <w:rPr>
                <w:sz w:val="20"/>
              </w:rPr>
              <w:t xml:space="preserve"> below </w:t>
            </w:r>
            <w:r w:rsidR="00F340B7" w:rsidRPr="007E46CC">
              <w:rPr>
                <w:sz w:val="20"/>
              </w:rPr>
              <w:t>1990</w:t>
            </w:r>
            <w:r w:rsidRPr="007E46CC">
              <w:rPr>
                <w:sz w:val="20"/>
              </w:rPr>
              <w:t xml:space="preserve"> levels in </w:t>
            </w:r>
            <w:r w:rsidR="00F340B7" w:rsidRPr="007E46CC">
              <w:rPr>
                <w:sz w:val="20"/>
              </w:rPr>
              <w:t>2016</w:t>
            </w:r>
            <w:r w:rsidR="00C116F2" w:rsidRPr="007E46CC">
              <w:rPr>
                <w:sz w:val="20"/>
              </w:rPr>
              <w:t>,</w:t>
            </w:r>
            <w:r w:rsidRPr="007E46CC">
              <w:rPr>
                <w:sz w:val="20"/>
              </w:rPr>
              <w:t xml:space="preserve"> with </w:t>
            </w:r>
            <w:r w:rsidR="00C116F2" w:rsidRPr="007E46CC">
              <w:rPr>
                <w:sz w:val="20"/>
              </w:rPr>
              <w:t xml:space="preserve">the </w:t>
            </w:r>
            <w:r w:rsidRPr="007E46CC">
              <w:rPr>
                <w:sz w:val="20"/>
              </w:rPr>
              <w:t xml:space="preserve">economy growing </w:t>
            </w:r>
            <w:r w:rsidR="00C116F2" w:rsidRPr="007E46CC">
              <w:rPr>
                <w:sz w:val="20"/>
              </w:rPr>
              <w:t xml:space="preserve">by </w:t>
            </w:r>
            <w:r w:rsidRPr="007E46CC">
              <w:rPr>
                <w:sz w:val="20"/>
              </w:rPr>
              <w:t>60</w:t>
            </w:r>
            <w:r w:rsidR="00F340B7" w:rsidRPr="007E46CC">
              <w:rPr>
                <w:sz w:val="20"/>
              </w:rPr>
              <w:t> per cent</w:t>
            </w:r>
            <w:r w:rsidRPr="007E46CC">
              <w:rPr>
                <w:sz w:val="20"/>
              </w:rPr>
              <w:t xml:space="preserve">. </w:t>
            </w:r>
            <w:r w:rsidR="00056D2A" w:rsidRPr="007E46CC">
              <w:rPr>
                <w:sz w:val="20"/>
              </w:rPr>
              <w:t xml:space="preserve">Between </w:t>
            </w:r>
            <w:r w:rsidR="00F340B7" w:rsidRPr="007E46CC">
              <w:rPr>
                <w:sz w:val="20"/>
              </w:rPr>
              <w:t>2008</w:t>
            </w:r>
            <w:r w:rsidR="00056D2A" w:rsidRPr="007E46CC">
              <w:rPr>
                <w:sz w:val="20"/>
              </w:rPr>
              <w:t xml:space="preserve"> and </w:t>
            </w:r>
            <w:r w:rsidR="00F340B7" w:rsidRPr="007E46CC">
              <w:rPr>
                <w:sz w:val="20"/>
              </w:rPr>
              <w:t>2015</w:t>
            </w:r>
            <w:r w:rsidRPr="007E46CC">
              <w:rPr>
                <w:sz w:val="20"/>
              </w:rPr>
              <w:t xml:space="preserve"> GHG per capita </w:t>
            </w:r>
            <w:r w:rsidR="0023276F">
              <w:rPr>
                <w:sz w:val="20"/>
              </w:rPr>
              <w:t xml:space="preserve">emissions </w:t>
            </w:r>
            <w:r w:rsidR="008B390C" w:rsidRPr="007E46CC">
              <w:rPr>
                <w:sz w:val="20"/>
              </w:rPr>
              <w:t xml:space="preserve">fell from </w:t>
            </w:r>
            <w:r w:rsidRPr="007E46CC">
              <w:rPr>
                <w:sz w:val="20"/>
              </w:rPr>
              <w:t>8.22 to 5.99</w:t>
            </w:r>
            <w:r w:rsidR="0023276F">
              <w:rPr>
                <w:sz w:val="20"/>
              </w:rPr>
              <w:t xml:space="preserve"> </w:t>
            </w:r>
            <w:r w:rsidRPr="007E46CC">
              <w:rPr>
                <w:sz w:val="20"/>
              </w:rPr>
              <w:t>tCO</w:t>
            </w:r>
            <w:r w:rsidRPr="007E46CC">
              <w:rPr>
                <w:sz w:val="20"/>
                <w:vertAlign w:val="subscript"/>
              </w:rPr>
              <w:t>2</w:t>
            </w:r>
            <w:r w:rsidRPr="007E46CC">
              <w:rPr>
                <w:sz w:val="20"/>
              </w:rPr>
              <w:t>, GHG per GDP (0.20 to 0.15</w:t>
            </w:r>
            <w:r w:rsidR="0023276F">
              <w:rPr>
                <w:sz w:val="20"/>
              </w:rPr>
              <w:t xml:space="preserve"> </w:t>
            </w:r>
            <w:r w:rsidRPr="007E46CC">
              <w:rPr>
                <w:sz w:val="20"/>
              </w:rPr>
              <w:t>tCO</w:t>
            </w:r>
            <w:r w:rsidRPr="007E46CC">
              <w:rPr>
                <w:sz w:val="20"/>
                <w:vertAlign w:val="subscript"/>
              </w:rPr>
              <w:t>2</w:t>
            </w:r>
            <w:r w:rsidRPr="007E46CC">
              <w:rPr>
                <w:sz w:val="20"/>
              </w:rPr>
              <w:t>/2010</w:t>
            </w:r>
            <w:r w:rsidR="0023276F">
              <w:rPr>
                <w:sz w:val="20"/>
              </w:rPr>
              <w:t xml:space="preserve"> </w:t>
            </w:r>
            <w:r w:rsidRPr="007E46CC">
              <w:rPr>
                <w:sz w:val="20"/>
              </w:rPr>
              <w:t>US</w:t>
            </w:r>
            <w:r w:rsidR="007132B5">
              <w:rPr>
                <w:sz w:val="20"/>
              </w:rPr>
              <w:t>$</w:t>
            </w:r>
            <w:r w:rsidRPr="007E46CC">
              <w:rPr>
                <w:sz w:val="20"/>
              </w:rPr>
              <w:t>, or 0.22 to 0.16</w:t>
            </w:r>
            <w:r w:rsidR="0023276F">
              <w:rPr>
                <w:sz w:val="20"/>
              </w:rPr>
              <w:t xml:space="preserve"> </w:t>
            </w:r>
            <w:r w:rsidRPr="007E46CC">
              <w:rPr>
                <w:sz w:val="20"/>
              </w:rPr>
              <w:t>tCO</w:t>
            </w:r>
            <w:r w:rsidRPr="007E46CC">
              <w:rPr>
                <w:sz w:val="20"/>
                <w:vertAlign w:val="subscript"/>
              </w:rPr>
              <w:t>2</w:t>
            </w:r>
            <w:r w:rsidRPr="007E46CC">
              <w:rPr>
                <w:sz w:val="20"/>
              </w:rPr>
              <w:t>/</w:t>
            </w:r>
            <w:r w:rsidR="00F340B7" w:rsidRPr="007E46CC">
              <w:rPr>
                <w:sz w:val="20"/>
              </w:rPr>
              <w:t>2010</w:t>
            </w:r>
            <w:r w:rsidR="0023276F">
              <w:rPr>
                <w:sz w:val="20"/>
              </w:rPr>
              <w:t xml:space="preserve"> </w:t>
            </w:r>
            <w:r w:rsidRPr="007E46CC">
              <w:rPr>
                <w:sz w:val="20"/>
              </w:rPr>
              <w:t>US</w:t>
            </w:r>
            <w:r w:rsidR="007132B5">
              <w:rPr>
                <w:sz w:val="20"/>
              </w:rPr>
              <w:t>$</w:t>
            </w:r>
            <w:r w:rsidR="0023276F">
              <w:rPr>
                <w:sz w:val="20"/>
              </w:rPr>
              <w:t xml:space="preserve"> </w:t>
            </w:r>
            <w:r w:rsidR="00C116F2" w:rsidRPr="007E46CC">
              <w:rPr>
                <w:sz w:val="20"/>
              </w:rPr>
              <w:t>PPP</w:t>
            </w:r>
            <w:r w:rsidRPr="007E46CC">
              <w:rPr>
                <w:sz w:val="20"/>
              </w:rPr>
              <w:t xml:space="preserve">); per capita energy use as total primary energy supply in </w:t>
            </w:r>
            <w:r w:rsidR="00F340B7" w:rsidRPr="007E46CC">
              <w:rPr>
                <w:sz w:val="20"/>
              </w:rPr>
              <w:t>tons</w:t>
            </w:r>
            <w:r w:rsidRPr="007E46CC">
              <w:rPr>
                <w:sz w:val="20"/>
              </w:rPr>
              <w:t xml:space="preserve"> of oil equivalent (TPES 3.37 to 2.78</w:t>
            </w:r>
            <w:r w:rsidR="0023276F">
              <w:rPr>
                <w:sz w:val="20"/>
              </w:rPr>
              <w:t xml:space="preserve"> </w:t>
            </w:r>
            <w:r w:rsidRPr="007E46CC">
              <w:rPr>
                <w:sz w:val="20"/>
              </w:rPr>
              <w:t>toe/person), TPES per GDP (0.08 to 0.07</w:t>
            </w:r>
            <w:r w:rsidR="0023276F">
              <w:rPr>
                <w:sz w:val="20"/>
              </w:rPr>
              <w:t xml:space="preserve"> </w:t>
            </w:r>
            <w:r w:rsidRPr="007E46CC">
              <w:rPr>
                <w:sz w:val="20"/>
              </w:rPr>
              <w:t>toe/</w:t>
            </w:r>
            <w:r w:rsidR="00C116F2" w:rsidRPr="007E46CC">
              <w:rPr>
                <w:sz w:val="20"/>
              </w:rPr>
              <w:t xml:space="preserve">1,000 </w:t>
            </w:r>
            <w:r w:rsidR="00F340B7" w:rsidRPr="007E46CC">
              <w:rPr>
                <w:sz w:val="20"/>
              </w:rPr>
              <w:t>2010</w:t>
            </w:r>
            <w:r w:rsidR="0023276F">
              <w:rPr>
                <w:sz w:val="20"/>
              </w:rPr>
              <w:t xml:space="preserve"> </w:t>
            </w:r>
            <w:r w:rsidRPr="007E46CC">
              <w:rPr>
                <w:sz w:val="20"/>
              </w:rPr>
              <w:t>US</w:t>
            </w:r>
            <w:r w:rsidR="007132B5">
              <w:rPr>
                <w:sz w:val="20"/>
              </w:rPr>
              <w:t>$</w:t>
            </w:r>
            <w:r w:rsidRPr="007E46CC">
              <w:rPr>
                <w:sz w:val="20"/>
              </w:rPr>
              <w:t>) and electricity consumption per capita (6.01 to 5.08</w:t>
            </w:r>
            <w:r w:rsidR="0023276F">
              <w:rPr>
                <w:sz w:val="20"/>
              </w:rPr>
              <w:t xml:space="preserve"> </w:t>
            </w:r>
            <w:r w:rsidRPr="007E46CC">
              <w:rPr>
                <w:sz w:val="20"/>
              </w:rPr>
              <w:t xml:space="preserve">MWh/person). </w:t>
            </w:r>
          </w:p>
        </w:tc>
        <w:tc>
          <w:tcPr>
            <w:tcW w:w="1137" w:type="dxa"/>
            <w:vMerge w:val="restart"/>
            <w:tcBorders>
              <w:right w:val="single" w:sz="2" w:space="0" w:color="auto"/>
            </w:tcBorders>
            <w:shd w:val="clear" w:color="auto" w:fill="D9E2F3"/>
          </w:tcPr>
          <w:p w14:paraId="003EE7F2" w14:textId="633D68A2" w:rsidR="003B2538" w:rsidRPr="007E46CC" w:rsidRDefault="007C5236" w:rsidP="007E46CC">
            <w:pPr>
              <w:pStyle w:val="TableText"/>
              <w:spacing w:before="0" w:after="0" w:line="240" w:lineRule="auto"/>
              <w:rPr>
                <w:sz w:val="20"/>
              </w:rPr>
            </w:pPr>
            <w:proofErr w:type="gramStart"/>
            <w:r w:rsidRPr="007E46CC">
              <w:rPr>
                <w:sz w:val="20"/>
              </w:rPr>
              <w:t>UK</w:t>
            </w:r>
            <w:r>
              <w:rPr>
                <w:sz w:val="20"/>
              </w:rPr>
              <w:t xml:space="preserve">,  </w:t>
            </w:r>
            <w:r w:rsidRPr="007C5236">
              <w:rPr>
                <w:sz w:val="20"/>
              </w:rPr>
              <w:t>Department</w:t>
            </w:r>
            <w:proofErr w:type="gramEnd"/>
            <w:r w:rsidRPr="007C5236">
              <w:rPr>
                <w:sz w:val="20"/>
              </w:rPr>
              <w:t xml:space="preserve"> for Business, Energy &amp; Industrial Strategy</w:t>
            </w:r>
            <w:r>
              <w:rPr>
                <w:sz w:val="20"/>
              </w:rPr>
              <w:t xml:space="preserve"> </w:t>
            </w:r>
            <w:r w:rsidRPr="007E46CC">
              <w:rPr>
                <w:sz w:val="20"/>
              </w:rPr>
              <w:t>2016; International Energy Agency [IEA]</w:t>
            </w:r>
            <w:r>
              <w:rPr>
                <w:sz w:val="20"/>
              </w:rPr>
              <w:t xml:space="preserve"> </w:t>
            </w:r>
            <w:r w:rsidRPr="007E46CC">
              <w:rPr>
                <w:sz w:val="20"/>
              </w:rPr>
              <w:t>2017</w:t>
            </w:r>
            <w:r>
              <w:rPr>
                <w:sz w:val="20"/>
              </w:rPr>
              <w:t xml:space="preserve">; </w:t>
            </w:r>
            <w:r w:rsidR="00F87F0A" w:rsidRPr="007E46CC">
              <w:rPr>
                <w:rFonts w:ascii="Segoe UI" w:eastAsia="Cambria" w:hAnsi="Segoe UI" w:cs="Segoe UI"/>
                <w:sz w:val="20"/>
              </w:rPr>
              <w:t>UK</w:t>
            </w:r>
            <w:r>
              <w:rPr>
                <w:rFonts w:ascii="Segoe UI" w:eastAsia="Cambria" w:hAnsi="Segoe UI" w:cs="Segoe UI"/>
                <w:sz w:val="20"/>
              </w:rPr>
              <w:t xml:space="preserve">, </w:t>
            </w:r>
            <w:r w:rsidR="00F87F0A" w:rsidRPr="007E46CC">
              <w:rPr>
                <w:rFonts w:ascii="Segoe UI" w:eastAsia="Cambria" w:hAnsi="Segoe UI" w:cs="Segoe UI"/>
                <w:sz w:val="20"/>
              </w:rPr>
              <w:t xml:space="preserve"> </w:t>
            </w:r>
            <w:r w:rsidR="001A2A19" w:rsidRPr="007E46CC">
              <w:rPr>
                <w:rFonts w:ascii="Segoe UI" w:eastAsia="Cambria" w:hAnsi="Segoe UI" w:cs="Segoe UI"/>
                <w:sz w:val="20"/>
              </w:rPr>
              <w:t>Committee on Climate Change</w:t>
            </w:r>
            <w:r w:rsidR="00F340B7" w:rsidRPr="007E46CC">
              <w:rPr>
                <w:sz w:val="20"/>
              </w:rPr>
              <w:t>2017</w:t>
            </w:r>
            <w:r w:rsidR="001A2A19" w:rsidRPr="007E46CC">
              <w:rPr>
                <w:sz w:val="20"/>
              </w:rPr>
              <w:t xml:space="preserve"> </w:t>
            </w:r>
          </w:p>
        </w:tc>
      </w:tr>
      <w:tr w:rsidR="003B2538" w:rsidRPr="007E46CC" w14:paraId="5D66E8A6" w14:textId="77777777" w:rsidTr="00AA3430">
        <w:tc>
          <w:tcPr>
            <w:tcW w:w="1445" w:type="dxa"/>
            <w:tcBorders>
              <w:left w:val="single" w:sz="2" w:space="0" w:color="auto"/>
            </w:tcBorders>
            <w:shd w:val="clear" w:color="auto" w:fill="auto"/>
          </w:tcPr>
          <w:p w14:paraId="3CE817B5" w14:textId="77777777" w:rsidR="003B2538" w:rsidRPr="007E46CC" w:rsidRDefault="003B2538" w:rsidP="007E46CC">
            <w:pPr>
              <w:pStyle w:val="TableText"/>
              <w:spacing w:before="0" w:after="0" w:line="240" w:lineRule="auto"/>
              <w:rPr>
                <w:sz w:val="20"/>
              </w:rPr>
            </w:pPr>
            <w:r w:rsidRPr="007E46CC">
              <w:rPr>
                <w:sz w:val="20"/>
              </w:rPr>
              <w:t xml:space="preserve">Independence of </w:t>
            </w:r>
            <w:r w:rsidR="00C116F2" w:rsidRPr="007E46CC">
              <w:rPr>
                <w:sz w:val="20"/>
              </w:rPr>
              <w:t>e</w:t>
            </w:r>
            <w:r w:rsidRPr="007E46CC">
              <w:rPr>
                <w:sz w:val="20"/>
              </w:rPr>
              <w:t>valuation</w:t>
            </w:r>
          </w:p>
        </w:tc>
        <w:tc>
          <w:tcPr>
            <w:tcW w:w="6660" w:type="dxa"/>
            <w:shd w:val="clear" w:color="auto" w:fill="auto"/>
          </w:tcPr>
          <w:p w14:paraId="2EE24DFE" w14:textId="77777777" w:rsidR="003B2538" w:rsidRPr="007E46CC" w:rsidRDefault="003B2538" w:rsidP="007E46CC">
            <w:pPr>
              <w:pStyle w:val="TableText"/>
              <w:spacing w:before="0" w:after="0" w:line="240" w:lineRule="auto"/>
              <w:rPr>
                <w:sz w:val="20"/>
              </w:rPr>
            </w:pPr>
            <w:r w:rsidRPr="007E46CC">
              <w:rPr>
                <w:sz w:val="20"/>
              </w:rPr>
              <w:t xml:space="preserve">Official Report to Parliament, supported by statistics </w:t>
            </w:r>
          </w:p>
        </w:tc>
        <w:tc>
          <w:tcPr>
            <w:tcW w:w="1137" w:type="dxa"/>
            <w:vMerge/>
            <w:tcBorders>
              <w:right w:val="single" w:sz="2" w:space="0" w:color="auto"/>
            </w:tcBorders>
            <w:shd w:val="clear" w:color="auto" w:fill="auto"/>
          </w:tcPr>
          <w:p w14:paraId="3AD6CC43" w14:textId="77777777" w:rsidR="003B2538" w:rsidRPr="007E46CC" w:rsidRDefault="003B2538" w:rsidP="007E46CC">
            <w:pPr>
              <w:pStyle w:val="TableText"/>
              <w:spacing w:before="0" w:after="0" w:line="240" w:lineRule="auto"/>
              <w:rPr>
                <w:sz w:val="20"/>
              </w:rPr>
            </w:pPr>
          </w:p>
        </w:tc>
      </w:tr>
      <w:tr w:rsidR="003B2538" w:rsidRPr="007E46CC" w14:paraId="1DF5CC8A" w14:textId="77777777" w:rsidTr="00AA3430">
        <w:tc>
          <w:tcPr>
            <w:tcW w:w="1445" w:type="dxa"/>
            <w:tcBorders>
              <w:left w:val="single" w:sz="2" w:space="0" w:color="auto"/>
            </w:tcBorders>
            <w:shd w:val="clear" w:color="auto" w:fill="D9E2F3"/>
          </w:tcPr>
          <w:p w14:paraId="4FF81EFE" w14:textId="77777777" w:rsidR="003B2538" w:rsidRPr="007E46CC" w:rsidRDefault="003B2538" w:rsidP="007E46CC">
            <w:pPr>
              <w:pStyle w:val="TableText"/>
              <w:spacing w:before="0" w:after="0" w:line="240" w:lineRule="auto"/>
              <w:rPr>
                <w:sz w:val="20"/>
              </w:rPr>
            </w:pPr>
            <w:r w:rsidRPr="007E46CC">
              <w:rPr>
                <w:sz w:val="20"/>
              </w:rPr>
              <w:t xml:space="preserve">Key </w:t>
            </w:r>
            <w:r w:rsidR="00C116F2" w:rsidRPr="007E46CC">
              <w:rPr>
                <w:sz w:val="20"/>
              </w:rPr>
              <w:t>a</w:t>
            </w:r>
            <w:r w:rsidRPr="007E46CC">
              <w:rPr>
                <w:sz w:val="20"/>
              </w:rPr>
              <w:t>ctors</w:t>
            </w:r>
          </w:p>
        </w:tc>
        <w:tc>
          <w:tcPr>
            <w:tcW w:w="6660" w:type="dxa"/>
            <w:shd w:val="clear" w:color="auto" w:fill="D9E2F3"/>
          </w:tcPr>
          <w:p w14:paraId="7CC9C552" w14:textId="18CF9AC7" w:rsidR="003B2538" w:rsidRPr="007E46CC" w:rsidRDefault="003B2538" w:rsidP="007E46CC">
            <w:pPr>
              <w:pStyle w:val="TableText"/>
              <w:spacing w:before="0" w:after="0" w:line="240" w:lineRule="auto"/>
              <w:rPr>
                <w:sz w:val="20"/>
              </w:rPr>
            </w:pPr>
            <w:r w:rsidRPr="007E46CC">
              <w:rPr>
                <w:sz w:val="20"/>
              </w:rPr>
              <w:t>Mainly government bodies (including devolved administration</w:t>
            </w:r>
            <w:r w:rsidR="0023276F">
              <w:rPr>
                <w:sz w:val="20"/>
              </w:rPr>
              <w:t>s</w:t>
            </w:r>
            <w:r w:rsidRPr="007E46CC">
              <w:rPr>
                <w:sz w:val="20"/>
              </w:rPr>
              <w:t>)</w:t>
            </w:r>
          </w:p>
        </w:tc>
        <w:tc>
          <w:tcPr>
            <w:tcW w:w="1137" w:type="dxa"/>
            <w:vMerge/>
            <w:tcBorders>
              <w:right w:val="single" w:sz="2" w:space="0" w:color="auto"/>
            </w:tcBorders>
            <w:shd w:val="clear" w:color="auto" w:fill="D9E2F3"/>
          </w:tcPr>
          <w:p w14:paraId="63A3CCD4" w14:textId="77777777" w:rsidR="003B2538" w:rsidRPr="007E46CC" w:rsidRDefault="003B2538" w:rsidP="007E46CC">
            <w:pPr>
              <w:pStyle w:val="TableText"/>
              <w:spacing w:before="0" w:after="0" w:line="240" w:lineRule="auto"/>
              <w:rPr>
                <w:sz w:val="20"/>
              </w:rPr>
            </w:pPr>
          </w:p>
        </w:tc>
      </w:tr>
      <w:tr w:rsidR="003B2538" w:rsidRPr="007E46CC" w14:paraId="61496371" w14:textId="77777777" w:rsidTr="00AA3430">
        <w:tc>
          <w:tcPr>
            <w:tcW w:w="1445" w:type="dxa"/>
            <w:tcBorders>
              <w:left w:val="single" w:sz="2" w:space="0" w:color="auto"/>
            </w:tcBorders>
            <w:shd w:val="clear" w:color="auto" w:fill="auto"/>
          </w:tcPr>
          <w:p w14:paraId="79B496B5" w14:textId="77777777" w:rsidR="003B2538" w:rsidRPr="007E46CC" w:rsidRDefault="003B2538" w:rsidP="007E46CC">
            <w:pPr>
              <w:pStyle w:val="TableText"/>
              <w:spacing w:before="0" w:after="0" w:line="240" w:lineRule="auto"/>
              <w:rPr>
                <w:sz w:val="20"/>
              </w:rPr>
            </w:pPr>
            <w:r w:rsidRPr="007E46CC">
              <w:rPr>
                <w:sz w:val="20"/>
              </w:rPr>
              <w:t>Baseline</w:t>
            </w:r>
          </w:p>
        </w:tc>
        <w:tc>
          <w:tcPr>
            <w:tcW w:w="6660" w:type="dxa"/>
            <w:shd w:val="clear" w:color="auto" w:fill="auto"/>
          </w:tcPr>
          <w:p w14:paraId="20069006" w14:textId="77777777" w:rsidR="003B2538" w:rsidRPr="007E46CC" w:rsidRDefault="00F340B7" w:rsidP="007E46CC">
            <w:pPr>
              <w:pStyle w:val="TableText"/>
              <w:spacing w:before="0" w:after="0" w:line="240" w:lineRule="auto"/>
              <w:rPr>
                <w:sz w:val="20"/>
              </w:rPr>
            </w:pPr>
            <w:r w:rsidRPr="007E46CC">
              <w:rPr>
                <w:sz w:val="20"/>
              </w:rPr>
              <w:t>1990</w:t>
            </w:r>
            <w:r w:rsidR="003B2538" w:rsidRPr="007E46CC">
              <w:rPr>
                <w:sz w:val="20"/>
              </w:rPr>
              <w:t xml:space="preserve"> economy-wide GHG </w:t>
            </w:r>
            <w:r w:rsidRPr="007E46CC">
              <w:rPr>
                <w:sz w:val="20"/>
              </w:rPr>
              <w:t>emission</w:t>
            </w:r>
            <w:r w:rsidR="003B2538" w:rsidRPr="007E46CC">
              <w:rPr>
                <w:sz w:val="20"/>
              </w:rPr>
              <w:t>s, plus other associated baselines such as shares of renewable energy</w:t>
            </w:r>
          </w:p>
        </w:tc>
        <w:tc>
          <w:tcPr>
            <w:tcW w:w="1137" w:type="dxa"/>
            <w:vMerge/>
            <w:tcBorders>
              <w:right w:val="single" w:sz="2" w:space="0" w:color="auto"/>
            </w:tcBorders>
            <w:shd w:val="clear" w:color="auto" w:fill="auto"/>
          </w:tcPr>
          <w:p w14:paraId="36CFE9CE" w14:textId="77777777" w:rsidR="003B2538" w:rsidRPr="007E46CC" w:rsidRDefault="003B2538" w:rsidP="007E46CC">
            <w:pPr>
              <w:pStyle w:val="TableText"/>
              <w:spacing w:before="0" w:after="0" w:line="240" w:lineRule="auto"/>
              <w:rPr>
                <w:sz w:val="20"/>
              </w:rPr>
            </w:pPr>
          </w:p>
        </w:tc>
      </w:tr>
      <w:tr w:rsidR="003B2538" w:rsidRPr="007E46CC" w14:paraId="546B2B59" w14:textId="77777777" w:rsidTr="00AA3430">
        <w:tc>
          <w:tcPr>
            <w:tcW w:w="1445" w:type="dxa"/>
            <w:tcBorders>
              <w:left w:val="single" w:sz="2" w:space="0" w:color="auto"/>
            </w:tcBorders>
            <w:shd w:val="clear" w:color="auto" w:fill="D9E2F3"/>
          </w:tcPr>
          <w:p w14:paraId="5778DD8F" w14:textId="77777777" w:rsidR="003B2538" w:rsidRPr="007E46CC" w:rsidRDefault="003B2538" w:rsidP="007E46CC">
            <w:pPr>
              <w:pStyle w:val="TableText"/>
              <w:spacing w:before="0" w:after="0" w:line="240" w:lineRule="auto"/>
              <w:rPr>
                <w:sz w:val="20"/>
              </w:rPr>
            </w:pPr>
            <w:r w:rsidRPr="007E46CC">
              <w:rPr>
                <w:sz w:val="20"/>
              </w:rPr>
              <w:t>Time frame</w:t>
            </w:r>
          </w:p>
        </w:tc>
        <w:tc>
          <w:tcPr>
            <w:tcW w:w="6660" w:type="dxa"/>
            <w:shd w:val="clear" w:color="auto" w:fill="D9E2F3"/>
          </w:tcPr>
          <w:p w14:paraId="52D8AC49" w14:textId="6F71864D" w:rsidR="003B2538" w:rsidRPr="007E46CC" w:rsidRDefault="003B2538" w:rsidP="007E46CC">
            <w:pPr>
              <w:pStyle w:val="TableText"/>
              <w:spacing w:before="0" w:after="0" w:line="240" w:lineRule="auto"/>
              <w:rPr>
                <w:sz w:val="20"/>
              </w:rPr>
            </w:pPr>
            <w:r w:rsidRPr="007E46CC">
              <w:rPr>
                <w:sz w:val="20"/>
              </w:rPr>
              <w:t>GHG cuts of 80</w:t>
            </w:r>
            <w:r w:rsidR="00F340B7" w:rsidRPr="007E46CC">
              <w:rPr>
                <w:sz w:val="20"/>
              </w:rPr>
              <w:t> per cent</w:t>
            </w:r>
            <w:r w:rsidRPr="007E46CC">
              <w:rPr>
                <w:sz w:val="20"/>
              </w:rPr>
              <w:t xml:space="preserve"> by </w:t>
            </w:r>
            <w:r w:rsidR="00F340B7" w:rsidRPr="007E46CC">
              <w:rPr>
                <w:sz w:val="20"/>
              </w:rPr>
              <w:t>2050</w:t>
            </w:r>
            <w:r w:rsidR="00C116F2" w:rsidRPr="007E46CC">
              <w:rPr>
                <w:sz w:val="20"/>
              </w:rPr>
              <w:t>,</w:t>
            </w:r>
            <w:r w:rsidRPr="007E46CC">
              <w:rPr>
                <w:sz w:val="20"/>
              </w:rPr>
              <w:t xml:space="preserve"> with other interim targets (50</w:t>
            </w:r>
            <w:r w:rsidR="00F340B7" w:rsidRPr="007E46CC">
              <w:rPr>
                <w:sz w:val="20"/>
              </w:rPr>
              <w:t> per cent</w:t>
            </w:r>
            <w:r w:rsidRPr="007E46CC">
              <w:rPr>
                <w:sz w:val="20"/>
              </w:rPr>
              <w:t xml:space="preserve"> by </w:t>
            </w:r>
            <w:r w:rsidR="00F340B7" w:rsidRPr="007E46CC">
              <w:rPr>
                <w:sz w:val="20"/>
              </w:rPr>
              <w:t>2025</w:t>
            </w:r>
            <w:r w:rsidRPr="007E46CC">
              <w:rPr>
                <w:sz w:val="20"/>
              </w:rPr>
              <w:t xml:space="preserve">), based on </w:t>
            </w:r>
            <w:r w:rsidR="00C116F2" w:rsidRPr="007E46CC">
              <w:rPr>
                <w:sz w:val="20"/>
              </w:rPr>
              <w:t>five</w:t>
            </w:r>
            <w:r w:rsidRPr="007E46CC">
              <w:rPr>
                <w:sz w:val="20"/>
              </w:rPr>
              <w:t>-year carbon budgets, set 12 years in advance to allow preparation</w:t>
            </w:r>
            <w:r w:rsidR="00C116F2" w:rsidRPr="007E46CC">
              <w:rPr>
                <w:sz w:val="20"/>
              </w:rPr>
              <w:t>;</w:t>
            </w:r>
            <w:r w:rsidR="0023276F">
              <w:rPr>
                <w:sz w:val="20"/>
              </w:rPr>
              <w:t xml:space="preserve"> </w:t>
            </w:r>
            <w:r w:rsidR="00C116F2" w:rsidRPr="007E46CC">
              <w:rPr>
                <w:sz w:val="20"/>
              </w:rPr>
              <w:t>o</w:t>
            </w:r>
            <w:r w:rsidRPr="007E46CC">
              <w:rPr>
                <w:sz w:val="20"/>
              </w:rPr>
              <w:t xml:space="preserve">ther goals in </w:t>
            </w:r>
            <w:r w:rsidR="00C116F2" w:rsidRPr="007E46CC">
              <w:rPr>
                <w:sz w:val="20"/>
              </w:rPr>
              <w:t xml:space="preserve">the </w:t>
            </w:r>
            <w:r w:rsidRPr="007E46CC">
              <w:rPr>
                <w:sz w:val="20"/>
              </w:rPr>
              <w:t xml:space="preserve">energy sector (renewable electricity </w:t>
            </w:r>
            <w:r w:rsidRPr="007E46CC">
              <w:rPr>
                <w:sz w:val="20"/>
              </w:rPr>
              <w:lastRenderedPageBreak/>
              <w:t xml:space="preserve">and biofuels, transport efficiency, </w:t>
            </w:r>
            <w:r w:rsidR="00C116F2" w:rsidRPr="007E46CC">
              <w:rPr>
                <w:sz w:val="20"/>
              </w:rPr>
              <w:t xml:space="preserve">phase-in of </w:t>
            </w:r>
            <w:r w:rsidRPr="007E46CC">
              <w:rPr>
                <w:sz w:val="20"/>
              </w:rPr>
              <w:t>electric vehicles, and other</w:t>
            </w:r>
            <w:r w:rsidR="008B390C" w:rsidRPr="007E46CC">
              <w:rPr>
                <w:sz w:val="20"/>
              </w:rPr>
              <w:t>s</w:t>
            </w:r>
            <w:r w:rsidR="00C116F2" w:rsidRPr="007E46CC">
              <w:rPr>
                <w:sz w:val="20"/>
              </w:rPr>
              <w:t>,</w:t>
            </w:r>
            <w:r w:rsidRPr="007E46CC">
              <w:rPr>
                <w:sz w:val="20"/>
              </w:rPr>
              <w:t xml:space="preserve"> including carbon capture and storage).</w:t>
            </w:r>
          </w:p>
        </w:tc>
        <w:tc>
          <w:tcPr>
            <w:tcW w:w="1137" w:type="dxa"/>
            <w:vMerge/>
            <w:tcBorders>
              <w:right w:val="single" w:sz="2" w:space="0" w:color="auto"/>
            </w:tcBorders>
            <w:shd w:val="clear" w:color="auto" w:fill="D9E2F3"/>
          </w:tcPr>
          <w:p w14:paraId="5D565797" w14:textId="77777777" w:rsidR="003B2538" w:rsidRPr="007E46CC" w:rsidRDefault="003B2538" w:rsidP="007E46CC">
            <w:pPr>
              <w:pStyle w:val="TableText"/>
              <w:spacing w:before="0" w:after="0" w:line="240" w:lineRule="auto"/>
              <w:rPr>
                <w:sz w:val="20"/>
              </w:rPr>
            </w:pPr>
          </w:p>
        </w:tc>
      </w:tr>
      <w:tr w:rsidR="003B2538" w:rsidRPr="007E46CC" w14:paraId="5C4EC4A8" w14:textId="77777777" w:rsidTr="00AA3430">
        <w:tc>
          <w:tcPr>
            <w:tcW w:w="1445" w:type="dxa"/>
            <w:tcBorders>
              <w:left w:val="single" w:sz="2" w:space="0" w:color="auto"/>
            </w:tcBorders>
            <w:shd w:val="clear" w:color="auto" w:fill="auto"/>
          </w:tcPr>
          <w:p w14:paraId="2E6AD9F6" w14:textId="77777777" w:rsidR="003B2538" w:rsidRPr="007E46CC" w:rsidRDefault="003B2538" w:rsidP="007E46CC">
            <w:pPr>
              <w:pStyle w:val="TableText"/>
              <w:spacing w:before="0" w:after="0" w:line="240" w:lineRule="auto"/>
              <w:rPr>
                <w:sz w:val="20"/>
              </w:rPr>
            </w:pPr>
            <w:r w:rsidRPr="007E46CC">
              <w:rPr>
                <w:sz w:val="20"/>
              </w:rPr>
              <w:t>Constraining factors</w:t>
            </w:r>
          </w:p>
        </w:tc>
        <w:tc>
          <w:tcPr>
            <w:tcW w:w="6660" w:type="dxa"/>
            <w:shd w:val="clear" w:color="auto" w:fill="auto"/>
          </w:tcPr>
          <w:p w14:paraId="54388A08" w14:textId="77777777" w:rsidR="003B2538" w:rsidRPr="007E46CC" w:rsidRDefault="003B2538" w:rsidP="007E46CC">
            <w:pPr>
              <w:pStyle w:val="TableText"/>
              <w:spacing w:before="0" w:after="0" w:line="240" w:lineRule="auto"/>
              <w:rPr>
                <w:sz w:val="20"/>
              </w:rPr>
            </w:pPr>
            <w:r w:rsidRPr="007E46CC">
              <w:rPr>
                <w:sz w:val="20"/>
              </w:rPr>
              <w:t>Slow GHG curbs in transport and buildings sectors, very limited carbon capture and storage</w:t>
            </w:r>
          </w:p>
        </w:tc>
        <w:tc>
          <w:tcPr>
            <w:tcW w:w="1137" w:type="dxa"/>
            <w:vMerge/>
            <w:tcBorders>
              <w:right w:val="single" w:sz="2" w:space="0" w:color="auto"/>
            </w:tcBorders>
            <w:shd w:val="clear" w:color="auto" w:fill="auto"/>
          </w:tcPr>
          <w:p w14:paraId="181442AE" w14:textId="77777777" w:rsidR="003B2538" w:rsidRPr="007E46CC" w:rsidRDefault="003B2538" w:rsidP="007E46CC">
            <w:pPr>
              <w:pStyle w:val="TableText"/>
              <w:spacing w:before="0" w:after="0" w:line="240" w:lineRule="auto"/>
              <w:rPr>
                <w:sz w:val="20"/>
              </w:rPr>
            </w:pPr>
          </w:p>
        </w:tc>
      </w:tr>
      <w:tr w:rsidR="003B2538" w:rsidRPr="007E46CC" w14:paraId="79730504" w14:textId="77777777" w:rsidTr="00AA3430">
        <w:tc>
          <w:tcPr>
            <w:tcW w:w="1445" w:type="dxa"/>
            <w:tcBorders>
              <w:left w:val="single" w:sz="2" w:space="0" w:color="auto"/>
            </w:tcBorders>
            <w:shd w:val="clear" w:color="auto" w:fill="D9E2F3"/>
          </w:tcPr>
          <w:p w14:paraId="54DB4AC1" w14:textId="77777777" w:rsidR="003B2538" w:rsidRPr="007E46CC" w:rsidRDefault="003B2538" w:rsidP="007E46CC">
            <w:pPr>
              <w:pStyle w:val="TableText"/>
              <w:spacing w:before="0" w:after="0" w:line="240" w:lineRule="auto"/>
              <w:rPr>
                <w:sz w:val="20"/>
              </w:rPr>
            </w:pPr>
            <w:r w:rsidRPr="007E46CC">
              <w:rPr>
                <w:sz w:val="20"/>
              </w:rPr>
              <w:t>Enabling factors</w:t>
            </w:r>
          </w:p>
        </w:tc>
        <w:tc>
          <w:tcPr>
            <w:tcW w:w="6660" w:type="dxa"/>
            <w:shd w:val="clear" w:color="auto" w:fill="D9E2F3"/>
          </w:tcPr>
          <w:p w14:paraId="7BCFB343" w14:textId="713A3925" w:rsidR="003B2538" w:rsidRPr="007E46CC" w:rsidRDefault="00C116F2" w:rsidP="007E46CC">
            <w:pPr>
              <w:pStyle w:val="TableText"/>
              <w:spacing w:before="0" w:after="0" w:line="240" w:lineRule="auto"/>
              <w:rPr>
                <w:sz w:val="20"/>
              </w:rPr>
            </w:pPr>
            <w:r w:rsidRPr="007E46CC">
              <w:rPr>
                <w:sz w:val="20"/>
              </w:rPr>
              <w:t>The m</w:t>
            </w:r>
            <w:r w:rsidR="003B2538" w:rsidRPr="007E46CC">
              <w:rPr>
                <w:sz w:val="20"/>
              </w:rPr>
              <w:t xml:space="preserve">ain driver was </w:t>
            </w:r>
            <w:r w:rsidRPr="007E46CC">
              <w:rPr>
                <w:sz w:val="20"/>
              </w:rPr>
              <w:t xml:space="preserve">a </w:t>
            </w:r>
            <w:r w:rsidR="003B2538" w:rsidRPr="007E46CC">
              <w:rPr>
                <w:sz w:val="20"/>
              </w:rPr>
              <w:t>reduc</w:t>
            </w:r>
            <w:r w:rsidRPr="007E46CC">
              <w:rPr>
                <w:sz w:val="20"/>
              </w:rPr>
              <w:t>tion</w:t>
            </w:r>
            <w:r w:rsidR="0023276F">
              <w:rPr>
                <w:sz w:val="20"/>
              </w:rPr>
              <w:t xml:space="preserve"> </w:t>
            </w:r>
            <w:r w:rsidRPr="007E46CC">
              <w:rPr>
                <w:sz w:val="20"/>
              </w:rPr>
              <w:t xml:space="preserve">in the </w:t>
            </w:r>
            <w:r w:rsidR="003B2538" w:rsidRPr="007E46CC">
              <w:rPr>
                <w:sz w:val="20"/>
              </w:rPr>
              <w:t>use of coal by 75</w:t>
            </w:r>
            <w:r w:rsidR="00F340B7" w:rsidRPr="007E46CC">
              <w:rPr>
                <w:sz w:val="20"/>
              </w:rPr>
              <w:t> per cent</w:t>
            </w:r>
            <w:r w:rsidR="003B2538" w:rsidRPr="007E46CC">
              <w:rPr>
                <w:sz w:val="20"/>
              </w:rPr>
              <w:t xml:space="preserve"> in </w:t>
            </w:r>
            <w:r w:rsidRPr="007E46CC">
              <w:rPr>
                <w:sz w:val="20"/>
              </w:rPr>
              <w:t xml:space="preserve">the </w:t>
            </w:r>
            <w:r w:rsidR="003B2538" w:rsidRPr="007E46CC">
              <w:rPr>
                <w:sz w:val="20"/>
              </w:rPr>
              <w:t>power sector. The Act had strong support due to lower energy bills, salience of scientific evidence, public awareness, political responses following innovation outside government, technol</w:t>
            </w:r>
            <w:r w:rsidR="00F340B7" w:rsidRPr="007E46CC">
              <w:rPr>
                <w:sz w:val="20"/>
              </w:rPr>
              <w:t>ogy</w:t>
            </w:r>
            <w:r w:rsidR="003B2538" w:rsidRPr="007E46CC">
              <w:rPr>
                <w:sz w:val="20"/>
              </w:rPr>
              <w:t xml:space="preserve"> improvements, value of institutional innovation, use of evidence reframing climate change as an economic issue, and </w:t>
            </w:r>
            <w:r w:rsidRPr="007E46CC">
              <w:rPr>
                <w:sz w:val="20"/>
              </w:rPr>
              <w:t xml:space="preserve">the </w:t>
            </w:r>
            <w:r w:rsidR="003B2538" w:rsidRPr="007E46CC">
              <w:rPr>
                <w:sz w:val="20"/>
              </w:rPr>
              <w:t xml:space="preserve">importance of leadership. </w:t>
            </w:r>
          </w:p>
        </w:tc>
        <w:tc>
          <w:tcPr>
            <w:tcW w:w="1137" w:type="dxa"/>
            <w:vMerge/>
            <w:tcBorders>
              <w:right w:val="single" w:sz="2" w:space="0" w:color="auto"/>
            </w:tcBorders>
            <w:shd w:val="clear" w:color="auto" w:fill="D9E2F3"/>
          </w:tcPr>
          <w:p w14:paraId="6A1D19C8" w14:textId="77777777" w:rsidR="003B2538" w:rsidRPr="007E46CC" w:rsidRDefault="003B2538" w:rsidP="007E46CC">
            <w:pPr>
              <w:pStyle w:val="TableText"/>
              <w:spacing w:before="0" w:after="0" w:line="240" w:lineRule="auto"/>
              <w:rPr>
                <w:sz w:val="20"/>
              </w:rPr>
            </w:pPr>
          </w:p>
        </w:tc>
      </w:tr>
      <w:tr w:rsidR="003B2538" w:rsidRPr="007E46CC" w14:paraId="4D32DDEA" w14:textId="77777777" w:rsidTr="00AA3430">
        <w:tc>
          <w:tcPr>
            <w:tcW w:w="1445" w:type="dxa"/>
            <w:tcBorders>
              <w:left w:val="single" w:sz="2" w:space="0" w:color="auto"/>
            </w:tcBorders>
            <w:shd w:val="clear" w:color="auto" w:fill="auto"/>
          </w:tcPr>
          <w:p w14:paraId="4C9451DB" w14:textId="77777777" w:rsidR="003B2538" w:rsidRPr="007E46CC" w:rsidRDefault="003B2538" w:rsidP="007E46CC">
            <w:pPr>
              <w:pStyle w:val="TableText"/>
              <w:spacing w:before="0" w:after="0" w:line="240" w:lineRule="auto"/>
              <w:rPr>
                <w:sz w:val="20"/>
              </w:rPr>
            </w:pPr>
            <w:r w:rsidRPr="007E46CC">
              <w:rPr>
                <w:sz w:val="20"/>
              </w:rPr>
              <w:t>Cost</w:t>
            </w:r>
            <w:r w:rsidR="00C116F2" w:rsidRPr="007E46CC">
              <w:rPr>
                <w:sz w:val="20"/>
              </w:rPr>
              <w:t>-</w:t>
            </w:r>
            <w:r w:rsidRPr="007E46CC">
              <w:rPr>
                <w:sz w:val="20"/>
              </w:rPr>
              <w:t>effectiveness</w:t>
            </w:r>
          </w:p>
        </w:tc>
        <w:tc>
          <w:tcPr>
            <w:tcW w:w="6660" w:type="dxa"/>
            <w:shd w:val="clear" w:color="auto" w:fill="auto"/>
          </w:tcPr>
          <w:p w14:paraId="71150B82" w14:textId="77777777" w:rsidR="003B2538" w:rsidRPr="007E46CC" w:rsidRDefault="003B2538" w:rsidP="007E46CC">
            <w:pPr>
              <w:pStyle w:val="TableText"/>
              <w:spacing w:before="0" w:after="0" w:line="240" w:lineRule="auto"/>
              <w:rPr>
                <w:sz w:val="20"/>
              </w:rPr>
            </w:pPr>
            <w:r w:rsidRPr="007E46CC">
              <w:rPr>
                <w:sz w:val="20"/>
              </w:rPr>
              <w:t xml:space="preserve">Costs </w:t>
            </w:r>
            <w:r w:rsidR="00C116F2" w:rsidRPr="007E46CC">
              <w:rPr>
                <w:sz w:val="20"/>
              </w:rPr>
              <w:t>will be around</w:t>
            </w:r>
            <w:r w:rsidRPr="007E46CC">
              <w:rPr>
                <w:sz w:val="20"/>
              </w:rPr>
              <w:t xml:space="preserve"> 1</w:t>
            </w:r>
            <w:r w:rsidR="00C116F2" w:rsidRPr="007E46CC">
              <w:rPr>
                <w:sz w:val="20"/>
              </w:rPr>
              <w:t>–</w:t>
            </w:r>
            <w:r w:rsidRPr="007E46CC">
              <w:rPr>
                <w:sz w:val="20"/>
              </w:rPr>
              <w:t>2</w:t>
            </w:r>
            <w:r w:rsidR="00F340B7" w:rsidRPr="007E46CC">
              <w:rPr>
                <w:sz w:val="20"/>
              </w:rPr>
              <w:t> per cent</w:t>
            </w:r>
            <w:r w:rsidRPr="007E46CC">
              <w:rPr>
                <w:sz w:val="20"/>
              </w:rPr>
              <w:t xml:space="preserve"> of GDP in </w:t>
            </w:r>
            <w:r w:rsidR="00F340B7" w:rsidRPr="007E46CC">
              <w:rPr>
                <w:sz w:val="20"/>
              </w:rPr>
              <w:t>2050</w:t>
            </w:r>
            <w:r w:rsidR="00C116F2" w:rsidRPr="007E46CC">
              <w:rPr>
                <w:sz w:val="20"/>
              </w:rPr>
              <w:t>,</w:t>
            </w:r>
            <w:r w:rsidRPr="007E46CC">
              <w:rPr>
                <w:sz w:val="20"/>
              </w:rPr>
              <w:t xml:space="preserve"> with significant business opportunities from a low-</w:t>
            </w:r>
            <w:r w:rsidR="00C116F2" w:rsidRPr="007E46CC">
              <w:rPr>
                <w:sz w:val="20"/>
              </w:rPr>
              <w:t>carbon</w:t>
            </w:r>
            <w:r w:rsidRPr="007E46CC">
              <w:rPr>
                <w:sz w:val="20"/>
              </w:rPr>
              <w:t xml:space="preserve"> economy (in </w:t>
            </w:r>
            <w:r w:rsidR="00F340B7" w:rsidRPr="007E46CC">
              <w:rPr>
                <w:sz w:val="20"/>
              </w:rPr>
              <w:t>2009</w:t>
            </w:r>
            <w:r w:rsidRPr="007E46CC">
              <w:rPr>
                <w:sz w:val="20"/>
              </w:rPr>
              <w:t xml:space="preserve"> a market worth </w:t>
            </w:r>
            <w:r w:rsidR="00C116F2" w:rsidRPr="007E46CC">
              <w:rPr>
                <w:sz w:val="20"/>
              </w:rPr>
              <w:t>GBP</w:t>
            </w:r>
            <w:r w:rsidRPr="007E46CC">
              <w:rPr>
                <w:sz w:val="20"/>
              </w:rPr>
              <w:t xml:space="preserve">112 </w:t>
            </w:r>
            <w:r w:rsidR="00F340B7" w:rsidRPr="007E46CC">
              <w:rPr>
                <w:sz w:val="20"/>
              </w:rPr>
              <w:t>billion</w:t>
            </w:r>
            <w:r w:rsidRPr="007E46CC">
              <w:rPr>
                <w:sz w:val="20"/>
              </w:rPr>
              <w:t>, with over 900</w:t>
            </w:r>
            <w:r w:rsidR="00C116F2" w:rsidRPr="007E46CC">
              <w:rPr>
                <w:sz w:val="20"/>
              </w:rPr>
              <w:t>,000</w:t>
            </w:r>
            <w:r w:rsidRPr="007E46CC">
              <w:rPr>
                <w:sz w:val="20"/>
              </w:rPr>
              <w:t xml:space="preserve"> jobs).</w:t>
            </w:r>
          </w:p>
        </w:tc>
        <w:tc>
          <w:tcPr>
            <w:tcW w:w="1137" w:type="dxa"/>
            <w:vMerge/>
            <w:tcBorders>
              <w:right w:val="single" w:sz="2" w:space="0" w:color="auto"/>
            </w:tcBorders>
            <w:shd w:val="clear" w:color="auto" w:fill="auto"/>
          </w:tcPr>
          <w:p w14:paraId="4F6768F8" w14:textId="77777777" w:rsidR="003B2538" w:rsidRPr="007E46CC" w:rsidRDefault="003B2538" w:rsidP="007E46CC">
            <w:pPr>
              <w:pStyle w:val="TableText"/>
              <w:spacing w:before="0" w:after="0" w:line="240" w:lineRule="auto"/>
              <w:rPr>
                <w:sz w:val="20"/>
              </w:rPr>
            </w:pPr>
          </w:p>
        </w:tc>
      </w:tr>
      <w:tr w:rsidR="003B2538" w:rsidRPr="007E46CC" w14:paraId="2B03DE61" w14:textId="77777777" w:rsidTr="00AA3430">
        <w:tc>
          <w:tcPr>
            <w:tcW w:w="1445" w:type="dxa"/>
            <w:tcBorders>
              <w:left w:val="single" w:sz="2" w:space="0" w:color="auto"/>
            </w:tcBorders>
            <w:shd w:val="clear" w:color="auto" w:fill="D9E2F3"/>
          </w:tcPr>
          <w:p w14:paraId="33784275" w14:textId="77777777" w:rsidR="003B2538" w:rsidRPr="007E46CC" w:rsidRDefault="003B2538" w:rsidP="007E46CC">
            <w:pPr>
              <w:pStyle w:val="TableText"/>
              <w:spacing w:before="0" w:after="0" w:line="240" w:lineRule="auto"/>
              <w:rPr>
                <w:sz w:val="20"/>
              </w:rPr>
            </w:pPr>
            <w:r w:rsidRPr="007E46CC">
              <w:rPr>
                <w:sz w:val="20"/>
              </w:rPr>
              <w:t>Equity</w:t>
            </w:r>
          </w:p>
        </w:tc>
        <w:tc>
          <w:tcPr>
            <w:tcW w:w="6660" w:type="dxa"/>
            <w:shd w:val="clear" w:color="auto" w:fill="D9E2F3"/>
          </w:tcPr>
          <w:p w14:paraId="279A644A" w14:textId="77777777" w:rsidR="003B2538" w:rsidRPr="007E46CC" w:rsidRDefault="003B2538" w:rsidP="007E46CC">
            <w:pPr>
              <w:pStyle w:val="TableText"/>
              <w:spacing w:before="0" w:after="0" w:line="240" w:lineRule="auto"/>
              <w:rPr>
                <w:sz w:val="20"/>
              </w:rPr>
            </w:pPr>
            <w:r w:rsidRPr="007E46CC">
              <w:rPr>
                <w:sz w:val="20"/>
              </w:rPr>
              <w:t xml:space="preserve">Contraction and convergence approach </w:t>
            </w:r>
          </w:p>
        </w:tc>
        <w:tc>
          <w:tcPr>
            <w:tcW w:w="1137" w:type="dxa"/>
            <w:vMerge/>
            <w:tcBorders>
              <w:right w:val="single" w:sz="2" w:space="0" w:color="auto"/>
            </w:tcBorders>
            <w:shd w:val="clear" w:color="auto" w:fill="D9E2F3"/>
          </w:tcPr>
          <w:p w14:paraId="69061FEE" w14:textId="77777777" w:rsidR="003B2538" w:rsidRPr="007E46CC" w:rsidRDefault="003B2538" w:rsidP="007E46CC">
            <w:pPr>
              <w:pStyle w:val="TableText"/>
              <w:spacing w:before="0" w:after="0" w:line="240" w:lineRule="auto"/>
              <w:rPr>
                <w:sz w:val="20"/>
              </w:rPr>
            </w:pPr>
          </w:p>
        </w:tc>
      </w:tr>
      <w:tr w:rsidR="003B2538" w:rsidRPr="007E46CC" w14:paraId="053D1D37" w14:textId="77777777" w:rsidTr="00AA3430">
        <w:tc>
          <w:tcPr>
            <w:tcW w:w="1445" w:type="dxa"/>
            <w:tcBorders>
              <w:left w:val="single" w:sz="2" w:space="0" w:color="auto"/>
            </w:tcBorders>
            <w:shd w:val="clear" w:color="auto" w:fill="auto"/>
          </w:tcPr>
          <w:p w14:paraId="4E76FED0" w14:textId="77777777" w:rsidR="003B2538" w:rsidRPr="007E46CC" w:rsidRDefault="003B2538" w:rsidP="007E46CC">
            <w:pPr>
              <w:pStyle w:val="TableText"/>
              <w:spacing w:before="0" w:after="0" w:line="240" w:lineRule="auto"/>
              <w:rPr>
                <w:sz w:val="20"/>
              </w:rPr>
            </w:pPr>
            <w:r w:rsidRPr="007E46CC">
              <w:rPr>
                <w:sz w:val="20"/>
              </w:rPr>
              <w:t>Co-benefits</w:t>
            </w:r>
          </w:p>
        </w:tc>
        <w:tc>
          <w:tcPr>
            <w:tcW w:w="6660" w:type="dxa"/>
            <w:shd w:val="clear" w:color="auto" w:fill="auto"/>
          </w:tcPr>
          <w:p w14:paraId="461A47A8" w14:textId="25A0C589" w:rsidR="003B2538" w:rsidRPr="007E46CC" w:rsidRDefault="003B2538" w:rsidP="007E46CC">
            <w:pPr>
              <w:pStyle w:val="TableText"/>
              <w:spacing w:before="0" w:after="0" w:line="240" w:lineRule="auto"/>
              <w:rPr>
                <w:sz w:val="20"/>
              </w:rPr>
            </w:pPr>
            <w:r w:rsidRPr="007E46CC">
              <w:rPr>
                <w:sz w:val="20"/>
              </w:rPr>
              <w:t>Improved market access, innovation, infrastructure resilience, energy supply security and system flexibility (storage, interconnection), take-up of new technol</w:t>
            </w:r>
            <w:r w:rsidR="00F340B7" w:rsidRPr="007E46CC">
              <w:rPr>
                <w:sz w:val="20"/>
              </w:rPr>
              <w:t>ogies</w:t>
            </w:r>
            <w:r w:rsidRPr="007E46CC">
              <w:rPr>
                <w:sz w:val="20"/>
              </w:rPr>
              <w:t>, quality</w:t>
            </w:r>
            <w:r w:rsidR="0023276F">
              <w:rPr>
                <w:sz w:val="20"/>
              </w:rPr>
              <w:t xml:space="preserve"> of life</w:t>
            </w:r>
            <w:r w:rsidRPr="007E46CC">
              <w:rPr>
                <w:sz w:val="20"/>
              </w:rPr>
              <w:t xml:space="preserve"> (air, water, health and </w:t>
            </w:r>
            <w:r w:rsidR="00F340B7" w:rsidRPr="007E46CC">
              <w:rPr>
                <w:sz w:val="20"/>
              </w:rPr>
              <w:t>well-being</w:t>
            </w:r>
            <w:r w:rsidRPr="007E46CC">
              <w:rPr>
                <w:sz w:val="20"/>
              </w:rPr>
              <w:t xml:space="preserve">, </w:t>
            </w:r>
            <w:r w:rsidR="00F340B7" w:rsidRPr="007E46CC">
              <w:rPr>
                <w:sz w:val="20"/>
              </w:rPr>
              <w:t>land use</w:t>
            </w:r>
            <w:r w:rsidRPr="007E46CC">
              <w:rPr>
                <w:sz w:val="20"/>
              </w:rPr>
              <w:t xml:space="preserve">) </w:t>
            </w:r>
          </w:p>
        </w:tc>
        <w:tc>
          <w:tcPr>
            <w:tcW w:w="1137" w:type="dxa"/>
            <w:vMerge/>
            <w:tcBorders>
              <w:right w:val="single" w:sz="2" w:space="0" w:color="auto"/>
            </w:tcBorders>
            <w:shd w:val="clear" w:color="auto" w:fill="auto"/>
          </w:tcPr>
          <w:p w14:paraId="793BC68E" w14:textId="77777777" w:rsidR="003B2538" w:rsidRPr="007E46CC" w:rsidRDefault="003B2538" w:rsidP="007E46CC">
            <w:pPr>
              <w:pStyle w:val="TableText"/>
              <w:spacing w:before="0" w:after="0" w:line="240" w:lineRule="auto"/>
              <w:rPr>
                <w:sz w:val="20"/>
              </w:rPr>
            </w:pPr>
          </w:p>
        </w:tc>
      </w:tr>
      <w:tr w:rsidR="003B2538" w:rsidRPr="007E46CC" w14:paraId="1B69DDDD" w14:textId="77777777" w:rsidTr="00AA3430">
        <w:tc>
          <w:tcPr>
            <w:tcW w:w="1445" w:type="dxa"/>
            <w:tcBorders>
              <w:left w:val="single" w:sz="2" w:space="0" w:color="auto"/>
            </w:tcBorders>
            <w:shd w:val="clear" w:color="auto" w:fill="D9E2F3"/>
          </w:tcPr>
          <w:p w14:paraId="1496828D" w14:textId="77777777" w:rsidR="003B2538" w:rsidRPr="007E46CC" w:rsidRDefault="003B2538" w:rsidP="007E46CC">
            <w:pPr>
              <w:pStyle w:val="TableText"/>
              <w:spacing w:before="0" w:after="0" w:line="240" w:lineRule="auto"/>
              <w:rPr>
                <w:sz w:val="20"/>
              </w:rPr>
            </w:pPr>
            <w:r w:rsidRPr="007E46CC">
              <w:rPr>
                <w:sz w:val="20"/>
              </w:rPr>
              <w:t>Transboundary issues</w:t>
            </w:r>
          </w:p>
        </w:tc>
        <w:tc>
          <w:tcPr>
            <w:tcW w:w="6660" w:type="dxa"/>
            <w:shd w:val="clear" w:color="auto" w:fill="D9E2F3"/>
          </w:tcPr>
          <w:p w14:paraId="6D1B1E35" w14:textId="77777777" w:rsidR="003B2538" w:rsidRPr="007E46CC" w:rsidRDefault="003B2538" w:rsidP="007E46CC">
            <w:pPr>
              <w:pStyle w:val="TableText"/>
              <w:spacing w:before="0" w:after="0" w:line="240" w:lineRule="auto"/>
              <w:rPr>
                <w:sz w:val="20"/>
              </w:rPr>
            </w:pPr>
            <w:r w:rsidRPr="007E46CC">
              <w:rPr>
                <w:sz w:val="20"/>
              </w:rPr>
              <w:t xml:space="preserve">Necessary policy </w:t>
            </w:r>
            <w:r w:rsidR="00F340B7" w:rsidRPr="007E46CC">
              <w:rPr>
                <w:sz w:val="20"/>
              </w:rPr>
              <w:t>re</w:t>
            </w:r>
            <w:r w:rsidRPr="007E46CC">
              <w:rPr>
                <w:sz w:val="20"/>
              </w:rPr>
              <w:t xml:space="preserve">alignment after exit </w:t>
            </w:r>
            <w:r w:rsidR="008B390C" w:rsidRPr="007E46CC">
              <w:rPr>
                <w:sz w:val="20"/>
              </w:rPr>
              <w:t xml:space="preserve">from </w:t>
            </w:r>
            <w:r w:rsidR="00056D2A" w:rsidRPr="007E46CC">
              <w:rPr>
                <w:sz w:val="20"/>
              </w:rPr>
              <w:t xml:space="preserve">the </w:t>
            </w:r>
            <w:r w:rsidRPr="007E46CC">
              <w:rPr>
                <w:sz w:val="20"/>
              </w:rPr>
              <w:t xml:space="preserve">EU and more ambition to fulfil the Paris Agreement </w:t>
            </w:r>
            <w:r w:rsidR="00056D2A" w:rsidRPr="007E46CC">
              <w:rPr>
                <w:sz w:val="20"/>
              </w:rPr>
              <w:t>g</w:t>
            </w:r>
            <w:r w:rsidRPr="007E46CC">
              <w:rPr>
                <w:sz w:val="20"/>
              </w:rPr>
              <w:t>oals</w:t>
            </w:r>
          </w:p>
        </w:tc>
        <w:tc>
          <w:tcPr>
            <w:tcW w:w="1137" w:type="dxa"/>
            <w:vMerge/>
            <w:tcBorders>
              <w:right w:val="single" w:sz="2" w:space="0" w:color="auto"/>
            </w:tcBorders>
            <w:shd w:val="clear" w:color="auto" w:fill="D9E2F3"/>
          </w:tcPr>
          <w:p w14:paraId="4462BFEE" w14:textId="77777777" w:rsidR="003B2538" w:rsidRPr="007E46CC" w:rsidRDefault="003B2538" w:rsidP="007E46CC">
            <w:pPr>
              <w:pStyle w:val="TableText"/>
              <w:spacing w:before="0" w:after="0" w:line="240" w:lineRule="auto"/>
              <w:rPr>
                <w:sz w:val="20"/>
              </w:rPr>
            </w:pPr>
          </w:p>
        </w:tc>
      </w:tr>
      <w:tr w:rsidR="003B2538" w:rsidRPr="007E46CC" w14:paraId="22D01F12" w14:textId="77777777" w:rsidTr="00AA3430">
        <w:tc>
          <w:tcPr>
            <w:tcW w:w="1445" w:type="dxa"/>
            <w:tcBorders>
              <w:left w:val="single" w:sz="2" w:space="0" w:color="auto"/>
              <w:bottom w:val="single" w:sz="2" w:space="0" w:color="auto"/>
            </w:tcBorders>
            <w:shd w:val="clear" w:color="auto" w:fill="auto"/>
          </w:tcPr>
          <w:p w14:paraId="477116F0" w14:textId="77777777" w:rsidR="003B2538" w:rsidRPr="007E46CC" w:rsidRDefault="003B2538" w:rsidP="007E46CC">
            <w:pPr>
              <w:pStyle w:val="TableText"/>
              <w:spacing w:before="0" w:after="0" w:line="240" w:lineRule="auto"/>
              <w:rPr>
                <w:sz w:val="20"/>
              </w:rPr>
            </w:pPr>
            <w:r w:rsidRPr="007E46CC">
              <w:rPr>
                <w:sz w:val="20"/>
              </w:rPr>
              <w:t>Possible improvements</w:t>
            </w:r>
          </w:p>
        </w:tc>
        <w:tc>
          <w:tcPr>
            <w:tcW w:w="6660" w:type="dxa"/>
            <w:tcBorders>
              <w:bottom w:val="single" w:sz="2" w:space="0" w:color="auto"/>
            </w:tcBorders>
            <w:shd w:val="clear" w:color="auto" w:fill="auto"/>
          </w:tcPr>
          <w:p w14:paraId="5889E31B" w14:textId="1F781E60" w:rsidR="003B2538" w:rsidRPr="007E46CC" w:rsidRDefault="00056D2A" w:rsidP="007E46CC">
            <w:pPr>
              <w:pStyle w:val="TableText"/>
              <w:spacing w:before="0" w:after="0" w:line="240" w:lineRule="auto"/>
              <w:rPr>
                <w:sz w:val="20"/>
              </w:rPr>
            </w:pPr>
            <w:r w:rsidRPr="007E46CC">
              <w:rPr>
                <w:sz w:val="20"/>
              </w:rPr>
              <w:t>Scale</w:t>
            </w:r>
            <w:r w:rsidR="0023276F">
              <w:rPr>
                <w:sz w:val="20"/>
              </w:rPr>
              <w:t>-</w:t>
            </w:r>
            <w:r w:rsidRPr="007E46CC">
              <w:rPr>
                <w:sz w:val="20"/>
              </w:rPr>
              <w:t xml:space="preserve">up </w:t>
            </w:r>
            <w:r w:rsidR="003B2538" w:rsidRPr="007E46CC">
              <w:rPr>
                <w:sz w:val="20"/>
              </w:rPr>
              <w:t xml:space="preserve">low-carbon </w:t>
            </w:r>
            <w:r w:rsidR="0023276F">
              <w:rPr>
                <w:sz w:val="20"/>
              </w:rPr>
              <w:t xml:space="preserve">power </w:t>
            </w:r>
            <w:r w:rsidR="003B2538" w:rsidRPr="007E46CC">
              <w:rPr>
                <w:sz w:val="20"/>
              </w:rPr>
              <w:t xml:space="preserve">generation, accelerated uptake of electric vehicles, more low-carbon heat alongside energy efficiency, </w:t>
            </w:r>
            <w:r w:rsidR="00F340B7" w:rsidRPr="007E46CC">
              <w:rPr>
                <w:sz w:val="20"/>
              </w:rPr>
              <w:t>re</w:t>
            </w:r>
            <w:r w:rsidR="003B2538" w:rsidRPr="007E46CC">
              <w:rPr>
                <w:sz w:val="20"/>
              </w:rPr>
              <w:t xml:space="preserve">start work on carbon capture and storage, address land management </w:t>
            </w:r>
            <w:r w:rsidR="00F340B7" w:rsidRPr="007E46CC">
              <w:rPr>
                <w:sz w:val="20"/>
              </w:rPr>
              <w:t>practice</w:t>
            </w:r>
            <w:r w:rsidR="003B2538" w:rsidRPr="007E46CC">
              <w:rPr>
                <w:sz w:val="20"/>
              </w:rPr>
              <w:t>s, improve and clarify combinations of policy instruments (carbon pricing, standards and regulations, research and development funding, subsidies, market design and taxation)</w:t>
            </w:r>
          </w:p>
        </w:tc>
        <w:tc>
          <w:tcPr>
            <w:tcW w:w="1137" w:type="dxa"/>
            <w:vMerge/>
            <w:tcBorders>
              <w:bottom w:val="single" w:sz="2" w:space="0" w:color="auto"/>
              <w:right w:val="single" w:sz="2" w:space="0" w:color="auto"/>
            </w:tcBorders>
            <w:shd w:val="clear" w:color="auto" w:fill="auto"/>
          </w:tcPr>
          <w:p w14:paraId="3CDA6E8E" w14:textId="77777777" w:rsidR="003B2538" w:rsidRPr="007E46CC" w:rsidRDefault="003B2538" w:rsidP="007E46CC">
            <w:pPr>
              <w:pStyle w:val="TableText"/>
              <w:spacing w:before="0" w:after="0" w:line="240" w:lineRule="auto"/>
              <w:rPr>
                <w:sz w:val="20"/>
              </w:rPr>
            </w:pPr>
          </w:p>
        </w:tc>
      </w:tr>
    </w:tbl>
    <w:p w14:paraId="2544B515" w14:textId="77777777" w:rsidR="00F340B7" w:rsidRPr="004A1A26" w:rsidRDefault="00F340B7" w:rsidP="00B477F5">
      <w:pPr>
        <w:rPr>
          <w:lang w:eastAsia="zh-CN"/>
        </w:rPr>
      </w:pPr>
    </w:p>
    <w:p w14:paraId="57E39B4D" w14:textId="45E3E8B1" w:rsidR="00F340B7" w:rsidRPr="004A1A26" w:rsidRDefault="003B2538" w:rsidP="00B477F5">
      <w:r w:rsidRPr="004A1A26">
        <w:rPr>
          <w:shd w:val="clear" w:color="auto" w:fill="FFFFFF" w:themeFill="background1"/>
        </w:rPr>
        <w:t xml:space="preserve">The </w:t>
      </w:r>
      <w:r w:rsidR="00453ABD" w:rsidRPr="004A1A26">
        <w:rPr>
          <w:shd w:val="clear" w:color="auto" w:fill="FFFFFF" w:themeFill="background1"/>
        </w:rPr>
        <w:t xml:space="preserve">Climate Act of the </w:t>
      </w:r>
      <w:r w:rsidR="00F340B7" w:rsidRPr="004A1A26">
        <w:rPr>
          <w:shd w:val="clear" w:color="auto" w:fill="FFFFFF" w:themeFill="background1"/>
        </w:rPr>
        <w:t>United Kingdom of Great Britain and Northern Ireland</w:t>
      </w:r>
      <w:r w:rsidR="00887B16">
        <w:rPr>
          <w:shd w:val="clear" w:color="auto" w:fill="FFFFFF" w:themeFill="background1"/>
        </w:rPr>
        <w:t xml:space="preserve"> </w:t>
      </w:r>
      <w:r w:rsidRPr="004A1A26">
        <w:rPr>
          <w:shd w:val="clear" w:color="auto" w:fill="FFFFFF" w:themeFill="background1"/>
        </w:rPr>
        <w:t>was the world</w:t>
      </w:r>
      <w:r w:rsidR="00056D2A" w:rsidRPr="004A1A26">
        <w:rPr>
          <w:shd w:val="clear" w:color="auto" w:fill="FFFFFF" w:themeFill="background1"/>
        </w:rPr>
        <w:t>’</w:t>
      </w:r>
      <w:r w:rsidRPr="004A1A26">
        <w:rPr>
          <w:shd w:val="clear" w:color="auto" w:fill="FFFFFF" w:themeFill="background1"/>
        </w:rPr>
        <w:t xml:space="preserve">s first legal instrument to set a long-range and significant carbon reduction target </w:t>
      </w:r>
      <w:r w:rsidR="00056D2A" w:rsidRPr="004A1A26">
        <w:rPr>
          <w:shd w:val="clear" w:color="auto" w:fill="FFFFFF" w:themeFill="background1"/>
        </w:rPr>
        <w:t>with</w:t>
      </w:r>
      <w:r w:rsidRPr="004A1A26">
        <w:rPr>
          <w:shd w:val="clear" w:color="auto" w:fill="FFFFFF" w:themeFill="background1"/>
        </w:rPr>
        <w:t xml:space="preserve"> a legally binding framework. Its approach considers a socio</w:t>
      </w:r>
      <w:r w:rsidR="00056D2A" w:rsidRPr="004A1A26">
        <w:rPr>
          <w:shd w:val="clear" w:color="auto" w:fill="FFFFFF" w:themeFill="background1"/>
        </w:rPr>
        <w:t>-</w:t>
      </w:r>
      <w:r w:rsidRPr="004A1A26">
        <w:rPr>
          <w:shd w:val="clear" w:color="auto" w:fill="FFFFFF" w:themeFill="background1"/>
        </w:rPr>
        <w:t>technical transition and equity</w:t>
      </w:r>
      <w:r w:rsidRPr="004A1A26">
        <w:t xml:space="preserve"> under a contraction and convergence </w:t>
      </w:r>
      <w:r w:rsidR="00DF4036" w:rsidRPr="004A1A26">
        <w:t xml:space="preserve">model (Lovell, </w:t>
      </w:r>
      <w:proofErr w:type="spellStart"/>
      <w:r w:rsidR="00DF4036" w:rsidRPr="004A1A26">
        <w:t>Bulkeley</w:t>
      </w:r>
      <w:proofErr w:type="spellEnd"/>
      <w:r w:rsidR="00DF4036" w:rsidRPr="004A1A26">
        <w:t xml:space="preserve"> and Owens </w:t>
      </w:r>
      <w:r w:rsidR="00F340B7" w:rsidRPr="004A1A26">
        <w:t>2009</w:t>
      </w:r>
      <w:r w:rsidRPr="004A1A26">
        <w:t xml:space="preserve">; </w:t>
      </w:r>
      <w:r w:rsidR="00F340B7" w:rsidRPr="004A1A26">
        <w:t>U</w:t>
      </w:r>
      <w:r w:rsidR="000D3D4C" w:rsidRPr="004A1A26">
        <w:t>K</w:t>
      </w:r>
      <w:r w:rsidR="00AE6443">
        <w:t xml:space="preserve">, </w:t>
      </w:r>
      <w:r w:rsidR="00AE6443" w:rsidRPr="007C5236">
        <w:rPr>
          <w:sz w:val="20"/>
        </w:rPr>
        <w:t>Department for Business, Energy &amp; Industrial Strategy</w:t>
      </w:r>
      <w:r w:rsidR="00F340B7" w:rsidRPr="004A1A26">
        <w:t>2016</w:t>
      </w:r>
      <w:r w:rsidR="00DF4036" w:rsidRPr="004A1A26">
        <w:t xml:space="preserve">; Global Commons Institute </w:t>
      </w:r>
      <w:r w:rsidR="00F340B7" w:rsidRPr="004A1A26">
        <w:t>2018</w:t>
      </w:r>
      <w:r w:rsidRPr="004A1A26">
        <w:t xml:space="preserve">), with carbon budgets (caps in GHG </w:t>
      </w:r>
      <w:r w:rsidR="00F340B7" w:rsidRPr="004A1A26">
        <w:t>emission</w:t>
      </w:r>
      <w:r w:rsidRPr="004A1A26">
        <w:t xml:space="preserve">s) used as an umbrella policy with strong direction for all </w:t>
      </w:r>
      <w:r w:rsidR="00056D2A" w:rsidRPr="004A1A26">
        <w:t xml:space="preserve">the </w:t>
      </w:r>
      <w:r w:rsidRPr="004A1A26">
        <w:t>main economic sectors</w:t>
      </w:r>
      <w:r w:rsidR="00056D2A" w:rsidRPr="004A1A26">
        <w:t>.</w:t>
      </w:r>
    </w:p>
    <w:p w14:paraId="51C9CD69" w14:textId="4ECDAD74" w:rsidR="00F340B7" w:rsidRPr="004A1A26" w:rsidRDefault="003B2538" w:rsidP="00B477F5">
      <w:r w:rsidRPr="004A1A26">
        <w:t>The importance of carbon budgets in guiding climate policies is illustrated by</w:t>
      </w:r>
      <w:r w:rsidR="00887B16">
        <w:t xml:space="preserve"> </w:t>
      </w:r>
      <w:r w:rsidR="00580E19" w:rsidRPr="004A1A26">
        <w:fldChar w:fldCharType="begin"/>
      </w:r>
      <w:r w:rsidR="00580E19" w:rsidRPr="004A1A26">
        <w:instrText xml:space="preserve"> REF _Ref517012894 \h  \* MERGEFORMAT </w:instrText>
      </w:r>
      <w:r w:rsidR="00580E19" w:rsidRPr="004A1A26">
        <w:fldChar w:fldCharType="separate"/>
      </w:r>
      <w:r w:rsidR="00430786" w:rsidRPr="004A1A26">
        <w:t>Figure 12.1</w:t>
      </w:r>
      <w:r w:rsidR="00580E19" w:rsidRPr="004A1A26">
        <w:fldChar w:fldCharType="end"/>
      </w:r>
      <w:r w:rsidRPr="004A1A26">
        <w:t xml:space="preserve">, which allocates limits to cumulative </w:t>
      </w:r>
      <w:r w:rsidR="00F340B7" w:rsidRPr="004A1A26">
        <w:t>emission</w:t>
      </w:r>
      <w:r w:rsidRPr="004A1A26">
        <w:t>s by country. A global carbon budget translates the atmospheric carrying capacity to withstand anthrop</w:t>
      </w:r>
      <w:r w:rsidR="00F340B7" w:rsidRPr="004A1A26">
        <w:t>ogen</w:t>
      </w:r>
      <w:r w:rsidRPr="004A1A26">
        <w:t xml:space="preserve">ic GHG </w:t>
      </w:r>
      <w:r w:rsidR="00F340B7" w:rsidRPr="004A1A26">
        <w:t>emission</w:t>
      </w:r>
      <w:r w:rsidRPr="004A1A26">
        <w:t xml:space="preserve">s within the goals set by the </w:t>
      </w:r>
      <w:r w:rsidR="00643658" w:rsidRPr="004A1A26">
        <w:t>UNFCCC</w:t>
      </w:r>
      <w:r w:rsidR="00887B16">
        <w:t xml:space="preserve"> </w:t>
      </w:r>
      <w:r w:rsidR="00F340B7" w:rsidRPr="004A1A26">
        <w:t>2015</w:t>
      </w:r>
      <w:r w:rsidRPr="004A1A26">
        <w:t xml:space="preserve"> Paris Agreement (1.5</w:t>
      </w:r>
      <w:r w:rsidR="00980ABC" w:rsidRPr="004A1A26">
        <w:t>-</w:t>
      </w:r>
      <w:r w:rsidRPr="004A1A26">
        <w:t>2</w:t>
      </w:r>
      <w:r w:rsidR="00980ABC" w:rsidRPr="004A1A26">
        <w:t>°C</w:t>
      </w:r>
      <w:r w:rsidRPr="004A1A26">
        <w:t xml:space="preserve">), based on representative concentration pathways (RCPs). According to the </w:t>
      </w:r>
      <w:r w:rsidR="00643658" w:rsidRPr="004A1A26">
        <w:t xml:space="preserve">Intergovernmental Panel on Climate Change [IPCC] </w:t>
      </w:r>
      <w:r w:rsidRPr="004A1A26">
        <w:t>(</w:t>
      </w:r>
      <w:r w:rsidR="00F340B7" w:rsidRPr="004A1A26">
        <w:t>2014</w:t>
      </w:r>
      <w:r w:rsidRPr="004A1A26">
        <w:t xml:space="preserve">), for the period </w:t>
      </w:r>
      <w:r w:rsidR="00F340B7" w:rsidRPr="004A1A26">
        <w:t>2011</w:t>
      </w:r>
      <w:r w:rsidR="00056D2A" w:rsidRPr="004A1A26">
        <w:t>–</w:t>
      </w:r>
      <w:r w:rsidR="00F340B7" w:rsidRPr="004A1A26">
        <w:t>2100</w:t>
      </w:r>
      <w:r w:rsidR="00056D2A" w:rsidRPr="004A1A26">
        <w:t>,</w:t>
      </w:r>
      <w:r w:rsidRPr="004A1A26">
        <w:t xml:space="preserve"> limits range around </w:t>
      </w:r>
      <w:r w:rsidR="00F340B7" w:rsidRPr="004A1A26">
        <w:t>1,000</w:t>
      </w:r>
      <w:r w:rsidRPr="004A1A26">
        <w:t xml:space="preserve"> GtCO</w:t>
      </w:r>
      <w:r w:rsidRPr="004A1A26">
        <w:rPr>
          <w:vertAlign w:val="subscript"/>
        </w:rPr>
        <w:t>2</w:t>
      </w:r>
      <w:r w:rsidRPr="004A1A26">
        <w:t xml:space="preserve"> (750</w:t>
      </w:r>
      <w:r w:rsidR="00056D2A" w:rsidRPr="004A1A26">
        <w:t>–</w:t>
      </w:r>
      <w:r w:rsidR="00F340B7" w:rsidRPr="004A1A26">
        <w:t>1,400</w:t>
      </w:r>
      <w:r w:rsidR="006D4A41" w:rsidRPr="004A1A26">
        <w:t xml:space="preserve"> for 2°</w:t>
      </w:r>
      <w:r w:rsidRPr="004A1A26">
        <w:t>C with &gt;66</w:t>
      </w:r>
      <w:r w:rsidR="00F340B7" w:rsidRPr="004A1A26">
        <w:t> per cent</w:t>
      </w:r>
      <w:r w:rsidRPr="004A1A26">
        <w:t xml:space="preserve"> probability, or 550</w:t>
      </w:r>
      <w:r w:rsidR="00056D2A" w:rsidRPr="004A1A26">
        <w:t>–</w:t>
      </w:r>
      <w:r w:rsidRPr="004A1A26">
        <w:t>600 Gt CO</w:t>
      </w:r>
      <w:r w:rsidRPr="004A1A26">
        <w:rPr>
          <w:vertAlign w:val="subscript"/>
        </w:rPr>
        <w:t>2</w:t>
      </w:r>
      <w:r w:rsidRPr="004A1A26">
        <w:t xml:space="preserve"> for the 1.5</w:t>
      </w:r>
      <w:r w:rsidR="00056D2A" w:rsidRPr="004A1A26">
        <w:t>°</w:t>
      </w:r>
      <w:r w:rsidRPr="004A1A26">
        <w:t>C goal with a &gt;50</w:t>
      </w:r>
      <w:r w:rsidR="00F340B7" w:rsidRPr="004A1A26">
        <w:t> per cent</w:t>
      </w:r>
      <w:r w:rsidRPr="004A1A26">
        <w:t xml:space="preserve"> chance).</w:t>
      </w:r>
    </w:p>
    <w:p w14:paraId="45DA1953" w14:textId="47BD1B0B" w:rsidR="00F340B7" w:rsidRPr="004A1A26" w:rsidRDefault="007F7F78" w:rsidP="00B477F5">
      <w:r>
        <w:rPr>
          <w:noProof/>
        </w:rPr>
        <w:lastRenderedPageBreak/>
        <w:drawing>
          <wp:inline distT="0" distB="0" distL="0" distR="0" wp14:anchorId="3CC36264" wp14:editId="2EA277A9">
            <wp:extent cx="4981575" cy="633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1575" cy="6334125"/>
                    </a:xfrm>
                    <a:prstGeom prst="rect">
                      <a:avLst/>
                    </a:prstGeom>
                  </pic:spPr>
                </pic:pic>
              </a:graphicData>
            </a:graphic>
          </wp:inline>
        </w:drawing>
      </w:r>
    </w:p>
    <w:p w14:paraId="5B0A595F" w14:textId="43842AEF" w:rsidR="00F340B7" w:rsidRPr="004A1A26" w:rsidRDefault="00AA4BDC" w:rsidP="00113D17">
      <w:pPr>
        <w:pStyle w:val="Caption"/>
      </w:pPr>
      <w:bookmarkStart w:id="18" w:name="_Ref517012894"/>
      <w:r w:rsidRPr="004A1A26">
        <w:t xml:space="preserve">Figure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002A04F6" w:rsidRPr="004A1A26">
        <w:t>.</w:t>
      </w:r>
      <w:r w:rsidR="00350B00" w:rsidRPr="004A1A26">
        <w:rPr>
          <w:noProof/>
        </w:rPr>
        <w:fldChar w:fldCharType="begin"/>
      </w:r>
      <w:r w:rsidR="00D169A0" w:rsidRPr="004A1A26">
        <w:rPr>
          <w:noProof/>
        </w:rPr>
        <w:instrText xml:space="preserve"> SEQ Figure \* ARABIC \s 1 </w:instrText>
      </w:r>
      <w:r w:rsidR="00350B00" w:rsidRPr="004A1A26">
        <w:rPr>
          <w:noProof/>
        </w:rPr>
        <w:fldChar w:fldCharType="separate"/>
      </w:r>
      <w:r w:rsidR="00430786" w:rsidRPr="004A1A26">
        <w:rPr>
          <w:noProof/>
        </w:rPr>
        <w:t>1</w:t>
      </w:r>
      <w:r w:rsidR="00350B00" w:rsidRPr="004A1A26">
        <w:rPr>
          <w:noProof/>
        </w:rPr>
        <w:fldChar w:fldCharType="end"/>
      </w:r>
      <w:bookmarkEnd w:id="18"/>
      <w:r w:rsidRPr="004A1A26">
        <w:t>: Regional allocation of cumulative CO</w:t>
      </w:r>
      <w:r w:rsidRPr="004A1A26">
        <w:rPr>
          <w:vertAlign w:val="subscript"/>
        </w:rPr>
        <w:t>2</w:t>
      </w:r>
      <w:r w:rsidR="00887B16" w:rsidRPr="00887B16">
        <w:t xml:space="preserve"> </w:t>
      </w:r>
      <w:r w:rsidR="00F340B7" w:rsidRPr="004A1A26">
        <w:t>emission</w:t>
      </w:r>
      <w:r w:rsidRPr="004A1A26">
        <w:t xml:space="preserve">s </w:t>
      </w:r>
    </w:p>
    <w:p w14:paraId="371371A5" w14:textId="406FECF7" w:rsidR="00390918" w:rsidRPr="004A1A26" w:rsidRDefault="00197208" w:rsidP="00113D17">
      <w:pPr>
        <w:pStyle w:val="Caption"/>
        <w:rPr>
          <w:sz w:val="20"/>
          <w:szCs w:val="20"/>
        </w:rPr>
      </w:pPr>
      <w:r w:rsidRPr="004A1A26">
        <w:rPr>
          <w:sz w:val="20"/>
          <w:szCs w:val="20"/>
        </w:rPr>
        <w:t xml:space="preserve">Note: </w:t>
      </w:r>
      <w:r w:rsidR="00390918" w:rsidRPr="004A1A26">
        <w:rPr>
          <w:sz w:val="20"/>
          <w:szCs w:val="20"/>
        </w:rPr>
        <w:t>The regional allocation of cumulative CO</w:t>
      </w:r>
      <w:r w:rsidR="00390918" w:rsidRPr="004A1A26">
        <w:rPr>
          <w:sz w:val="20"/>
          <w:szCs w:val="20"/>
          <w:vertAlign w:val="subscript"/>
        </w:rPr>
        <w:t>2</w:t>
      </w:r>
      <w:r w:rsidR="00390918" w:rsidRPr="004A1A26">
        <w:rPr>
          <w:sz w:val="20"/>
          <w:szCs w:val="20"/>
        </w:rPr>
        <w:t xml:space="preserve"> emissions follow</w:t>
      </w:r>
      <w:r w:rsidRPr="004A1A26">
        <w:rPr>
          <w:sz w:val="20"/>
          <w:szCs w:val="20"/>
        </w:rPr>
        <w:t>ing</w:t>
      </w:r>
      <w:r w:rsidR="00390918" w:rsidRPr="004A1A26">
        <w:rPr>
          <w:sz w:val="20"/>
          <w:szCs w:val="20"/>
        </w:rPr>
        <w:t xml:space="preserve"> a </w:t>
      </w:r>
      <w:proofErr w:type="gramStart"/>
      <w:r w:rsidR="00390918" w:rsidRPr="004A1A26">
        <w:rPr>
          <w:sz w:val="20"/>
          <w:szCs w:val="20"/>
        </w:rPr>
        <w:t>linear emissions</w:t>
      </w:r>
      <w:proofErr w:type="gramEnd"/>
      <w:r w:rsidR="00390918" w:rsidRPr="004A1A26">
        <w:rPr>
          <w:sz w:val="20"/>
          <w:szCs w:val="20"/>
        </w:rPr>
        <w:t xml:space="preserve"> decrease to zero (left) and the RCP 2.6 global emission scenario (right). Per capita convergence occurs in 2035, and total cumulative emissions after 2013 are equal to 1,000</w:t>
      </w:r>
      <w:r w:rsidR="00887B16">
        <w:rPr>
          <w:sz w:val="20"/>
          <w:szCs w:val="20"/>
        </w:rPr>
        <w:t xml:space="preserve"> </w:t>
      </w:r>
      <w:r w:rsidR="00390918" w:rsidRPr="004A1A26">
        <w:rPr>
          <w:sz w:val="20"/>
          <w:szCs w:val="20"/>
        </w:rPr>
        <w:t>Gt CO</w:t>
      </w:r>
      <w:r w:rsidR="00390918" w:rsidRPr="004A1A26">
        <w:rPr>
          <w:sz w:val="20"/>
          <w:szCs w:val="20"/>
          <w:vertAlign w:val="subscript"/>
        </w:rPr>
        <w:t>2</w:t>
      </w:r>
      <w:r w:rsidR="00390918" w:rsidRPr="004A1A26">
        <w:rPr>
          <w:sz w:val="20"/>
          <w:szCs w:val="20"/>
        </w:rPr>
        <w:t xml:space="preserve"> for both scenarios. The side table compares regional cumulative emissions allocation (values in Gt CO</w:t>
      </w:r>
      <w:r w:rsidR="00390918" w:rsidRPr="004A1A26">
        <w:rPr>
          <w:sz w:val="20"/>
          <w:szCs w:val="20"/>
          <w:vertAlign w:val="subscript"/>
        </w:rPr>
        <w:t>2</w:t>
      </w:r>
      <w:r w:rsidR="00390918" w:rsidRPr="004A1A26">
        <w:rPr>
          <w:sz w:val="20"/>
          <w:szCs w:val="20"/>
        </w:rPr>
        <w:t xml:space="preserve"> from 2014 onwards) from the RCP 2.6 scenario, for per capita convergence in 2035 and 2050 (Gignac and Matthews 2015).</w:t>
      </w:r>
    </w:p>
    <w:p w14:paraId="7FFBA280" w14:textId="53629FF9" w:rsidR="00F340B7" w:rsidRPr="004A1A26" w:rsidRDefault="003B2538" w:rsidP="00B477F5">
      <w:r w:rsidRPr="004A1A26">
        <w:t xml:space="preserve">Despite being an important lesson for other countries, the United Kingdom is still </w:t>
      </w:r>
      <w:r w:rsidR="008B390C" w:rsidRPr="004A1A26">
        <w:t xml:space="preserve">only </w:t>
      </w:r>
      <w:r w:rsidRPr="004A1A26">
        <w:t xml:space="preserve">partly on track to achieve its </w:t>
      </w:r>
      <w:r w:rsidR="008B390C" w:rsidRPr="004A1A26">
        <w:t>GHG</w:t>
      </w:r>
      <w:r w:rsidR="00113D17">
        <w:t xml:space="preserve"> </w:t>
      </w:r>
      <w:r w:rsidR="00F340B7" w:rsidRPr="004A1A26">
        <w:t>emission</w:t>
      </w:r>
      <w:r w:rsidRPr="004A1A26">
        <w:t xml:space="preserve">s targets. The cluster of policies that have been implemented have been moderately successful in some sectors, such as transport and buildings. Entrenched interests, such as coal-fired power plants and the transport sector, are not changing as quickly as needed to achieve the targets and additional policies to accelerate change will be needed to achieve the mandatory </w:t>
      </w:r>
      <w:r w:rsidR="00F340B7" w:rsidRPr="004A1A26">
        <w:t>emission</w:t>
      </w:r>
      <w:r w:rsidR="00390918" w:rsidRPr="004A1A26">
        <w:t>s</w:t>
      </w:r>
      <w:r w:rsidRPr="004A1A26">
        <w:t xml:space="preserve"> cuts. </w:t>
      </w:r>
      <w:r w:rsidRPr="004A1A26">
        <w:lastRenderedPageBreak/>
        <w:t>Finally, since much of the country</w:t>
      </w:r>
      <w:r w:rsidR="00390918" w:rsidRPr="004A1A26">
        <w:t>’</w:t>
      </w:r>
      <w:r w:rsidRPr="004A1A26">
        <w:t>s existing environmental legislation arises from membership of the EU, a wide range of new policies and pr</w:t>
      </w:r>
      <w:r w:rsidR="00F340B7" w:rsidRPr="004A1A26">
        <w:t>ogra</w:t>
      </w:r>
      <w:r w:rsidRPr="004A1A26">
        <w:t>mmes will be needed after the British exit (</w:t>
      </w:r>
      <w:r w:rsidR="002C3F6F" w:rsidRPr="004A1A26">
        <w:t>UK</w:t>
      </w:r>
      <w:r w:rsidR="00B7678C">
        <w:t xml:space="preserve">, </w:t>
      </w:r>
      <w:r w:rsidR="00B7678C">
        <w:rPr>
          <w:rFonts w:ascii="Segoe UI" w:eastAsia="MS Mincho" w:hAnsi="Segoe UI" w:cs="Segoe UI"/>
          <w:sz w:val="18"/>
          <w:szCs w:val="18"/>
          <w:lang w:val="en-US"/>
        </w:rPr>
        <w:t xml:space="preserve">Committee on Climate Change </w:t>
      </w:r>
      <w:r w:rsidR="00F340B7" w:rsidRPr="004A1A26">
        <w:t>2017</w:t>
      </w:r>
      <w:r w:rsidRPr="004A1A26">
        <w:t>).</w:t>
      </w:r>
    </w:p>
    <w:p w14:paraId="7396075A" w14:textId="3A55D087" w:rsidR="00F340B7" w:rsidRPr="004A1A26" w:rsidRDefault="00F32F98" w:rsidP="00F16A46">
      <w:pPr>
        <w:pStyle w:val="Heading3"/>
      </w:pPr>
      <w:bookmarkStart w:id="19" w:name="_Toc516842465"/>
      <w:r w:rsidRPr="004A1A26">
        <w:t>Technol</w:t>
      </w:r>
      <w:r w:rsidR="00F340B7" w:rsidRPr="004A1A26">
        <w:t>ogy</w:t>
      </w:r>
      <w:r w:rsidRPr="004A1A26">
        <w:t xml:space="preserve"> and </w:t>
      </w:r>
      <w:r w:rsidR="00390918" w:rsidRPr="004A1A26">
        <w:t>e</w:t>
      </w:r>
      <w:r w:rsidRPr="004A1A26">
        <w:t>mission</w:t>
      </w:r>
      <w:r w:rsidR="00390918" w:rsidRPr="004A1A26">
        <w:t>s</w:t>
      </w:r>
      <w:r w:rsidR="00113D17">
        <w:t xml:space="preserve"> </w:t>
      </w:r>
      <w:r w:rsidR="00390918" w:rsidRPr="004A1A26">
        <w:t>s</w:t>
      </w:r>
      <w:r w:rsidRPr="004A1A26">
        <w:t>tandards</w:t>
      </w:r>
      <w:bookmarkEnd w:id="16"/>
      <w:bookmarkEnd w:id="19"/>
    </w:p>
    <w:p w14:paraId="5DA4F577" w14:textId="07A47051" w:rsidR="00F340B7" w:rsidRPr="004A1A26" w:rsidRDefault="0086499D" w:rsidP="00B477F5">
      <w:bookmarkStart w:id="20" w:name="_Toc500317238"/>
      <w:bookmarkStart w:id="21" w:name="_Toc500317431"/>
      <w:bookmarkStart w:id="22" w:name="_Toc500334329"/>
      <w:r w:rsidRPr="004A1A26">
        <w:t xml:space="preserve">One of the most common approaches to address </w:t>
      </w:r>
      <w:r w:rsidR="00390918" w:rsidRPr="004A1A26">
        <w:t xml:space="preserve">challenges related to </w:t>
      </w:r>
      <w:r w:rsidRPr="004A1A26">
        <w:t xml:space="preserve">air quality and climate change is to define </w:t>
      </w:r>
      <w:r w:rsidR="00F340B7" w:rsidRPr="004A1A26">
        <w:t>emission</w:t>
      </w:r>
      <w:r w:rsidR="00390918" w:rsidRPr="004A1A26">
        <w:t>s</w:t>
      </w:r>
      <w:r w:rsidRPr="004A1A26">
        <w:t xml:space="preserve"> standards or other performance standards for specific industrial processes, equipment or products. Such standards may mandate that a process, piece of equipment or product should not </w:t>
      </w:r>
      <w:r w:rsidR="00F340B7" w:rsidRPr="004A1A26">
        <w:t>emit</w:t>
      </w:r>
      <w:r w:rsidRPr="004A1A26">
        <w:t xml:space="preserve"> more than a specified mass of </w:t>
      </w:r>
      <w:r w:rsidR="00F340B7" w:rsidRPr="004A1A26">
        <w:t>emission</w:t>
      </w:r>
      <w:r w:rsidRPr="004A1A26">
        <w:t xml:space="preserve">s of a given pollutant per unit </w:t>
      </w:r>
      <w:r w:rsidR="00390918" w:rsidRPr="004A1A26">
        <w:t xml:space="preserve">of </w:t>
      </w:r>
      <w:r w:rsidRPr="004A1A26">
        <w:t xml:space="preserve">time, input or output. For example, boilers used to generate electricity may be limited to a mass of </w:t>
      </w:r>
      <w:r w:rsidR="00F340B7" w:rsidRPr="004A1A26">
        <w:t>emission</w:t>
      </w:r>
      <w:r w:rsidRPr="004A1A26">
        <w:t xml:space="preserve">s per </w:t>
      </w:r>
      <w:r w:rsidR="00F340B7" w:rsidRPr="004A1A26">
        <w:t>kilowatt-hour</w:t>
      </w:r>
      <w:r w:rsidRPr="004A1A26">
        <w:t xml:space="preserve"> generated; vehicles are typically limited to certain </w:t>
      </w:r>
      <w:r w:rsidR="00F340B7" w:rsidRPr="004A1A26">
        <w:t>emission</w:t>
      </w:r>
      <w:r w:rsidRPr="004A1A26">
        <w:t>s per kilometre (km) travelled. Alternatively, a standard may require the application of a specific type of technol</w:t>
      </w:r>
      <w:r w:rsidR="00F340B7" w:rsidRPr="004A1A26">
        <w:t>ogy</w:t>
      </w:r>
      <w:r w:rsidRPr="004A1A26">
        <w:t xml:space="preserve"> or a specific operational </w:t>
      </w:r>
      <w:r w:rsidR="00F340B7" w:rsidRPr="004A1A26">
        <w:t>practice</w:t>
      </w:r>
      <w:r w:rsidRPr="004A1A26">
        <w:t xml:space="preserve">. For example, to limit </w:t>
      </w:r>
      <w:r w:rsidR="00F340B7" w:rsidRPr="004A1A26">
        <w:t>emission</w:t>
      </w:r>
      <w:r w:rsidRPr="004A1A26">
        <w:t xml:space="preserve">s of fugitive dust from a construction site, vehicles leaving the site may be required to go through a wheel wash station. In most cases, standards are designed to be neutral with respect to the choice of fuel or to the choice of a control manufacturer, but the general </w:t>
      </w:r>
      <w:r w:rsidR="00F340B7" w:rsidRPr="004A1A26">
        <w:t>principle</w:t>
      </w:r>
      <w:r w:rsidRPr="004A1A26">
        <w:t xml:space="preserve"> is that the polluter is responsible for attain</w:t>
      </w:r>
      <w:r w:rsidR="00390918" w:rsidRPr="004A1A26">
        <w:t>ing</w:t>
      </w:r>
      <w:r w:rsidRPr="004A1A26">
        <w:t xml:space="preserve"> the standard and hence should bear the cost of </w:t>
      </w:r>
      <w:r w:rsidR="00F340B7" w:rsidRPr="004A1A26">
        <w:t>emission</w:t>
      </w:r>
      <w:r w:rsidR="00390918" w:rsidRPr="004A1A26">
        <w:t>s</w:t>
      </w:r>
      <w:r w:rsidRPr="004A1A26">
        <w:t xml:space="preserve"> control. </w:t>
      </w:r>
      <w:r w:rsidR="008B390C" w:rsidRPr="004A1A26">
        <w:t xml:space="preserve">For example, polluters are responsible </w:t>
      </w:r>
      <w:r w:rsidRPr="004A1A26">
        <w:t>for retrofitting existing technol</w:t>
      </w:r>
      <w:r w:rsidR="00F340B7" w:rsidRPr="004A1A26">
        <w:t>ogies</w:t>
      </w:r>
      <w:r w:rsidRPr="004A1A26">
        <w:t xml:space="preserve">, where specific equipment </w:t>
      </w:r>
      <w:r w:rsidR="008B390C" w:rsidRPr="004A1A26">
        <w:t xml:space="preserve">needs to be </w:t>
      </w:r>
      <w:r w:rsidRPr="004A1A26">
        <w:t xml:space="preserve">installed to achieve existing or new </w:t>
      </w:r>
      <w:r w:rsidR="00F340B7" w:rsidRPr="004A1A26">
        <w:t>emission</w:t>
      </w:r>
      <w:r w:rsidR="00390918" w:rsidRPr="004A1A26">
        <w:t>s</w:t>
      </w:r>
      <w:r w:rsidRPr="004A1A26">
        <w:t xml:space="preserve"> standards. Where </w:t>
      </w:r>
      <w:r w:rsidR="00F340B7" w:rsidRPr="004A1A26">
        <w:t>emission</w:t>
      </w:r>
      <w:r w:rsidR="00390918" w:rsidRPr="004A1A26">
        <w:t>s</w:t>
      </w:r>
      <w:r w:rsidRPr="004A1A26">
        <w:t xml:space="preserve"> control technol</w:t>
      </w:r>
      <w:r w:rsidR="00F340B7" w:rsidRPr="004A1A26">
        <w:t>ogies</w:t>
      </w:r>
      <w:r w:rsidRPr="004A1A26">
        <w:t xml:space="preserve"> are integrated in</w:t>
      </w:r>
      <w:r w:rsidR="00390918" w:rsidRPr="004A1A26">
        <w:t>to</w:t>
      </w:r>
      <w:r w:rsidRPr="004A1A26">
        <w:t xml:space="preserve"> new equipment</w:t>
      </w:r>
      <w:r w:rsidR="00390918" w:rsidRPr="004A1A26">
        <w:t>—for example</w:t>
      </w:r>
      <w:r w:rsidRPr="004A1A26">
        <w:t xml:space="preserve">, in the case of </w:t>
      </w:r>
      <w:r w:rsidR="00390918" w:rsidRPr="004A1A26">
        <w:t>vehicles that comply with</w:t>
      </w:r>
      <w:r w:rsidR="006966C8">
        <w:t xml:space="preserve"> </w:t>
      </w:r>
      <w:r w:rsidRPr="004A1A26">
        <w:t>E</w:t>
      </w:r>
      <w:r w:rsidR="00694B64" w:rsidRPr="004A1A26">
        <w:t>uro</w:t>
      </w:r>
      <w:r w:rsidR="00F908F0">
        <w:t xml:space="preserve"> </w:t>
      </w:r>
      <w:r w:rsidR="00F340B7" w:rsidRPr="004A1A26">
        <w:t>emission</w:t>
      </w:r>
      <w:r w:rsidR="00390918" w:rsidRPr="004A1A26">
        <w:t>s</w:t>
      </w:r>
      <w:r w:rsidRPr="004A1A26">
        <w:t xml:space="preserve"> standard</w:t>
      </w:r>
      <w:r w:rsidR="00390918" w:rsidRPr="004A1A26">
        <w:t>s</w:t>
      </w:r>
      <w:r w:rsidRPr="004A1A26">
        <w:t xml:space="preserve">, which </w:t>
      </w:r>
      <w:r w:rsidR="001746F0" w:rsidRPr="004A1A26">
        <w:t>must</w:t>
      </w:r>
      <w:r w:rsidRPr="004A1A26">
        <w:t xml:space="preserve"> pass type approval at production</w:t>
      </w:r>
      <w:r w:rsidR="00390918" w:rsidRPr="004A1A26">
        <w:t xml:space="preserve">—the </w:t>
      </w:r>
      <w:r w:rsidRPr="004A1A26">
        <w:t xml:space="preserve">costs </w:t>
      </w:r>
      <w:r w:rsidR="00390918" w:rsidRPr="004A1A26">
        <w:t xml:space="preserve">of </w:t>
      </w:r>
      <w:r w:rsidR="00F340B7" w:rsidRPr="004A1A26">
        <w:t>emission</w:t>
      </w:r>
      <w:r w:rsidR="00390918" w:rsidRPr="004A1A26">
        <w:t>s</w:t>
      </w:r>
      <w:r w:rsidRPr="004A1A26">
        <w:t xml:space="preserve"> control are included in the unit price.</w:t>
      </w:r>
    </w:p>
    <w:p w14:paraId="1C69B41E" w14:textId="50CC843E" w:rsidR="00F340B7" w:rsidRPr="004A1A26" w:rsidRDefault="0086499D" w:rsidP="00B477F5">
      <w:r w:rsidRPr="004A1A26">
        <w:t>The implementation and enforcement of technol</w:t>
      </w:r>
      <w:r w:rsidR="00F340B7" w:rsidRPr="004A1A26">
        <w:t>ogy</w:t>
      </w:r>
      <w:r w:rsidRPr="004A1A26">
        <w:t xml:space="preserve"> and </w:t>
      </w:r>
      <w:r w:rsidR="00F340B7" w:rsidRPr="004A1A26">
        <w:t>emission</w:t>
      </w:r>
      <w:r w:rsidR="00390918" w:rsidRPr="004A1A26">
        <w:t>s</w:t>
      </w:r>
      <w:r w:rsidRPr="004A1A26">
        <w:t xml:space="preserve"> standards present a direct measure affecting </w:t>
      </w:r>
      <w:r w:rsidR="00F340B7" w:rsidRPr="004A1A26">
        <w:t>‘</w:t>
      </w:r>
      <w:r w:rsidRPr="004A1A26">
        <w:t>pressures</w:t>
      </w:r>
      <w:r w:rsidR="00F340B7" w:rsidRPr="004A1A26">
        <w:t>’</w:t>
      </w:r>
      <w:r w:rsidRPr="004A1A26">
        <w:t xml:space="preserve"> and contribute to the attainment of the </w:t>
      </w:r>
      <w:r w:rsidR="00F340B7" w:rsidRPr="004A1A26">
        <w:t>emission</w:t>
      </w:r>
      <w:r w:rsidR="00390918" w:rsidRPr="004A1A26">
        <w:t>s</w:t>
      </w:r>
      <w:r w:rsidRPr="004A1A26">
        <w:t xml:space="preserve"> targets and budgets, the desired </w:t>
      </w:r>
      <w:r w:rsidR="00F340B7" w:rsidRPr="004A1A26">
        <w:t>‘</w:t>
      </w:r>
      <w:r w:rsidRPr="004A1A26">
        <w:t>state</w:t>
      </w:r>
      <w:r w:rsidR="00F340B7" w:rsidRPr="004A1A26">
        <w:t>’</w:t>
      </w:r>
      <w:r w:rsidRPr="004A1A26">
        <w:t xml:space="preserve"> established in a planning regime</w:t>
      </w:r>
      <w:r w:rsidR="00CB1DD7">
        <w:t xml:space="preserve"> (see Figure 1.2, </w:t>
      </w:r>
      <w:r w:rsidR="00445A18">
        <w:t>Chapter 1)</w:t>
      </w:r>
      <w:r w:rsidRPr="004A1A26">
        <w:t xml:space="preserve">. Often referred to as </w:t>
      </w:r>
      <w:r w:rsidR="00F340B7" w:rsidRPr="004A1A26">
        <w:t>‘</w:t>
      </w:r>
      <w:r w:rsidRPr="004A1A26">
        <w:t>command and control</w:t>
      </w:r>
      <w:r w:rsidR="00F340B7" w:rsidRPr="004A1A26">
        <w:t>’</w:t>
      </w:r>
      <w:r w:rsidRPr="004A1A26">
        <w:t xml:space="preserve"> regulations, technol</w:t>
      </w:r>
      <w:r w:rsidR="00F340B7" w:rsidRPr="004A1A26">
        <w:t>ogy</w:t>
      </w:r>
      <w:r w:rsidRPr="004A1A26">
        <w:t xml:space="preserve"> and </w:t>
      </w:r>
      <w:r w:rsidR="00F340B7" w:rsidRPr="004A1A26">
        <w:t>emission</w:t>
      </w:r>
      <w:r w:rsidRPr="004A1A26">
        <w:t>s standards may be implemented and enforced through permit pr</w:t>
      </w:r>
      <w:r w:rsidR="00F340B7" w:rsidRPr="004A1A26">
        <w:t>ogra</w:t>
      </w:r>
      <w:r w:rsidRPr="004A1A26">
        <w:t>m</w:t>
      </w:r>
      <w:r w:rsidR="00297B38" w:rsidRPr="004A1A26">
        <w:t>me</w:t>
      </w:r>
      <w:r w:rsidRPr="004A1A26">
        <w:t xml:space="preserve">s, type approval schemes, inspections and audits, and reinforced by </w:t>
      </w:r>
      <w:r w:rsidR="00F340B7" w:rsidRPr="004A1A26">
        <w:t>emission</w:t>
      </w:r>
      <w:r w:rsidR="00390918" w:rsidRPr="004A1A26">
        <w:t>s</w:t>
      </w:r>
      <w:r w:rsidRPr="004A1A26">
        <w:t xml:space="preserve"> monitoring and reporting requirements. Technol</w:t>
      </w:r>
      <w:r w:rsidR="00F340B7" w:rsidRPr="004A1A26">
        <w:t>ogy</w:t>
      </w:r>
      <w:r w:rsidRPr="004A1A26">
        <w:t xml:space="preserve"> and </w:t>
      </w:r>
      <w:r w:rsidR="00F340B7" w:rsidRPr="004A1A26">
        <w:t>emission</w:t>
      </w:r>
      <w:r w:rsidRPr="004A1A26">
        <w:t xml:space="preserve">s standards, however, may also be developed and applied voluntarily by industry groups, </w:t>
      </w:r>
      <w:r w:rsidR="00F340B7" w:rsidRPr="004A1A26">
        <w:t>self-</w:t>
      </w:r>
      <w:r w:rsidRPr="004A1A26">
        <w:t>policed or subject to third-party verification, and associated with branding pr</w:t>
      </w:r>
      <w:r w:rsidR="00F340B7" w:rsidRPr="004A1A26">
        <w:t>ogra</w:t>
      </w:r>
      <w:r w:rsidRPr="004A1A26">
        <w:t>m</w:t>
      </w:r>
      <w:r w:rsidR="00297B38" w:rsidRPr="004A1A26">
        <w:t>me</w:t>
      </w:r>
      <w:r w:rsidRPr="004A1A26">
        <w:t xml:space="preserve">s (see section </w:t>
      </w:r>
      <w:r w:rsidR="00F16A46" w:rsidRPr="004A1A26">
        <w:t>12</w:t>
      </w:r>
      <w:r w:rsidR="00297B38" w:rsidRPr="004A1A26">
        <w:t>.</w:t>
      </w:r>
      <w:r w:rsidR="00782AB3">
        <w:t>2</w:t>
      </w:r>
      <w:r w:rsidR="00A41281" w:rsidRPr="004A1A26">
        <w:t>.</w:t>
      </w:r>
      <w:r w:rsidR="00297B38" w:rsidRPr="004A1A26">
        <w:t>4</w:t>
      </w:r>
      <w:r w:rsidRPr="004A1A26">
        <w:t>).</w:t>
      </w:r>
      <w:r w:rsidR="00F908F0">
        <w:t xml:space="preserve"> </w:t>
      </w:r>
      <w:r w:rsidRPr="004A1A26">
        <w:t>Lifestyle choices and consumption patterns may play a vital role in determining the effectiveness of voluntary approaches.</w:t>
      </w:r>
    </w:p>
    <w:p w14:paraId="1E2FAD3B" w14:textId="176C589F" w:rsidR="00F340B7" w:rsidRPr="004A1A26" w:rsidRDefault="0086499D" w:rsidP="00B477F5">
      <w:r w:rsidRPr="004A1A26">
        <w:t>Different standards in jurisdictions in the same ge</w:t>
      </w:r>
      <w:r w:rsidR="00F340B7" w:rsidRPr="004A1A26">
        <w:t>ogra</w:t>
      </w:r>
      <w:r w:rsidRPr="004A1A26">
        <w:t>phic</w:t>
      </w:r>
      <w:r w:rsidR="00390918" w:rsidRPr="004A1A26">
        <w:t>al</w:t>
      </w:r>
      <w:r w:rsidRPr="004A1A26">
        <w:t xml:space="preserve"> market increase the costs to manufacturers of products and equipment, wh</w:t>
      </w:r>
      <w:r w:rsidR="00256CFC" w:rsidRPr="004A1A26">
        <w:t>ich</w:t>
      </w:r>
      <w:r w:rsidRPr="004A1A26">
        <w:t xml:space="preserve"> are required to meet the various standards. Although regulatory compliance costs are only one factor that affects business location decisions, a lack </w:t>
      </w:r>
      <w:r w:rsidR="00256CFC" w:rsidRPr="004A1A26">
        <w:t>of</w:t>
      </w:r>
      <w:r w:rsidR="00F908F0">
        <w:t xml:space="preserve"> </w:t>
      </w:r>
      <w:r w:rsidRPr="004A1A26">
        <w:rPr>
          <w:color w:val="010000"/>
        </w:rPr>
        <w:t>harmon</w:t>
      </w:r>
      <w:r w:rsidR="00F340B7" w:rsidRPr="004A1A26">
        <w:rPr>
          <w:color w:val="010000"/>
        </w:rPr>
        <w:t>iza</w:t>
      </w:r>
      <w:r w:rsidRPr="004A1A26">
        <w:rPr>
          <w:color w:val="010000"/>
        </w:rPr>
        <w:t>tion</w:t>
      </w:r>
      <w:r w:rsidRPr="004A1A26">
        <w:t xml:space="preserve"> of standards can lead to shifts in economic activity and associated </w:t>
      </w:r>
      <w:r w:rsidR="00F340B7" w:rsidRPr="004A1A26">
        <w:t>emission</w:t>
      </w:r>
      <w:r w:rsidRPr="004A1A26">
        <w:t xml:space="preserve">s between jurisdictions as businesses seek locations with lower overall compliance costs. Therefore, standards are typically </w:t>
      </w:r>
      <w:r w:rsidRPr="004A1A26">
        <w:lastRenderedPageBreak/>
        <w:t xml:space="preserve">defined at the national level, </w:t>
      </w:r>
      <w:proofErr w:type="gramStart"/>
      <w:r w:rsidRPr="004A1A26">
        <w:t>taking into account</w:t>
      </w:r>
      <w:proofErr w:type="gramEnd"/>
      <w:r w:rsidRPr="004A1A26">
        <w:t xml:space="preserve"> standards in other countries, jurisdictions and markets.</w:t>
      </w:r>
    </w:p>
    <w:p w14:paraId="26156B1B" w14:textId="77777777" w:rsidR="00F340B7" w:rsidRPr="004A1A26" w:rsidRDefault="0086499D" w:rsidP="00A37E65">
      <w:r w:rsidRPr="004A1A26">
        <w:t xml:space="preserve">Under the US Clean Air Act, New Source Performance Standards (NSPS) define a minimum level of air pollution control for all major new industrial </w:t>
      </w:r>
      <w:r w:rsidR="00F340B7" w:rsidRPr="004A1A26">
        <w:t>emission</w:t>
      </w:r>
      <w:r w:rsidR="00256CFC" w:rsidRPr="004A1A26">
        <w:t>s</w:t>
      </w:r>
      <w:r w:rsidRPr="004A1A26">
        <w:t xml:space="preserve"> sources across the country, but more stringent standards may be applied depending on the level of existing pollution. To prevent </w:t>
      </w:r>
      <w:r w:rsidR="00256CFC" w:rsidRPr="004A1A26">
        <w:t xml:space="preserve">the </w:t>
      </w:r>
      <w:r w:rsidRPr="004A1A26">
        <w:t>deterioration of air quality in areas already meeting the National Ambient Air Quality Standards (NAAQS) short-term exposure to air pollution, new major sources are required to use Best Available Control Technol</w:t>
      </w:r>
      <w:r w:rsidR="00F340B7" w:rsidRPr="004A1A26">
        <w:t>ogy</w:t>
      </w:r>
      <w:r w:rsidRPr="004A1A26">
        <w:t xml:space="preserve"> (BACT), which is determined on a </w:t>
      </w:r>
      <w:r w:rsidR="00F340B7" w:rsidRPr="004A1A26">
        <w:t>case-by-case</w:t>
      </w:r>
      <w:r w:rsidRPr="004A1A26">
        <w:t xml:space="preserve"> basis as part of a permitting process and is at least as stringent as the NSPS. In polluted areas that already exceed the NAAQS, major new sources are required to meet the Lowest Achievable Emission Rate (LAER), which reflects the most stringent requirements in </w:t>
      </w:r>
      <w:r w:rsidR="00F340B7" w:rsidRPr="004A1A26">
        <w:t>practice</w:t>
      </w:r>
      <w:r w:rsidRPr="004A1A26">
        <w:t>. Existing sources in such areas are required to meet the less stringent standard of Reasonably Available Control Technol</w:t>
      </w:r>
      <w:r w:rsidR="00F340B7" w:rsidRPr="004A1A26">
        <w:t>ogy</w:t>
      </w:r>
      <w:r w:rsidRPr="004A1A26">
        <w:t xml:space="preserve"> (RACT). The USEPA maintains a database of these standards and </w:t>
      </w:r>
      <w:r w:rsidR="00F340B7" w:rsidRPr="004A1A26">
        <w:t>case-by-case</w:t>
      </w:r>
      <w:r w:rsidRPr="004A1A26">
        <w:t xml:space="preserve"> determinations in what is known as the RACT/BACT/LAER Clearinghouse (</w:t>
      </w:r>
      <w:r w:rsidR="002C3F6F" w:rsidRPr="004A1A26">
        <w:t>United States Environmental Protection Agency 2018</w:t>
      </w:r>
      <w:r w:rsidR="00766320" w:rsidRPr="004A1A26">
        <w:t>b</w:t>
      </w:r>
      <w:r w:rsidRPr="004A1A26">
        <w:t>). As technol</w:t>
      </w:r>
      <w:r w:rsidR="00F340B7" w:rsidRPr="004A1A26">
        <w:t>ogy</w:t>
      </w:r>
      <w:r w:rsidRPr="004A1A26">
        <w:t xml:space="preserve"> evolves, so do the RACT/BACT/LAER determinations, but by making the information public, the standards in different jurisdictions can evolve </w:t>
      </w:r>
      <w:r w:rsidR="00F340B7" w:rsidRPr="004A1A26">
        <w:t>together</w:t>
      </w:r>
      <w:r w:rsidRPr="004A1A26">
        <w:t>.</w:t>
      </w:r>
      <w:r w:rsidR="00A37E65" w:rsidRPr="004A1A26">
        <w:t xml:space="preserve"> Likewise, the Industrial Emissions Directive (</w:t>
      </w:r>
      <w:r w:rsidR="00F340B7" w:rsidRPr="004A1A26">
        <w:t>2010</w:t>
      </w:r>
      <w:r w:rsidR="00A37E65" w:rsidRPr="004A1A26">
        <w:t xml:space="preserve">/75/EU) regulates industrial activities in Europe </w:t>
      </w:r>
      <w:proofErr w:type="gramStart"/>
      <w:r w:rsidR="00A37E65" w:rsidRPr="004A1A26">
        <w:t>and also</w:t>
      </w:r>
      <w:proofErr w:type="gramEnd"/>
      <w:r w:rsidR="00A37E65" w:rsidRPr="004A1A26">
        <w:t xml:space="preserve"> </w:t>
      </w:r>
      <w:r w:rsidR="00256CFC" w:rsidRPr="004A1A26">
        <w:t xml:space="preserve">uses </w:t>
      </w:r>
      <w:r w:rsidR="00A37E65" w:rsidRPr="004A1A26">
        <w:t xml:space="preserve">a legally binding concept of </w:t>
      </w:r>
      <w:r w:rsidR="00F340B7" w:rsidRPr="004A1A26">
        <w:t>‘</w:t>
      </w:r>
      <w:r w:rsidR="00A37E65" w:rsidRPr="004A1A26">
        <w:t>Best Available Techniques</w:t>
      </w:r>
      <w:r w:rsidR="00F340B7" w:rsidRPr="004A1A26">
        <w:t>’</w:t>
      </w:r>
      <w:r w:rsidR="00A37E65" w:rsidRPr="004A1A26">
        <w:t xml:space="preserve"> (BAT) </w:t>
      </w:r>
      <w:r w:rsidR="00256CFC" w:rsidRPr="004A1A26">
        <w:t xml:space="preserve">to </w:t>
      </w:r>
      <w:r w:rsidR="00A37E65" w:rsidRPr="004A1A26">
        <w:t>set environmental performance levels which industry must achieve (</w:t>
      </w:r>
      <w:r w:rsidR="00791877" w:rsidRPr="004A1A26">
        <w:t>European Commission 2018</w:t>
      </w:r>
      <w:r w:rsidR="00F42E03" w:rsidRPr="004A1A26">
        <w:t>b</w:t>
      </w:r>
      <w:r w:rsidR="00A37E65" w:rsidRPr="004A1A26">
        <w:t xml:space="preserve">). The definition of a BAT is done through a transparent exchange of information between industry, </w:t>
      </w:r>
      <w:r w:rsidR="00256CFC" w:rsidRPr="004A1A26">
        <w:t>non-governmental organizations (</w:t>
      </w:r>
      <w:r w:rsidR="00A37E65" w:rsidRPr="004A1A26">
        <w:t>NGOs</w:t>
      </w:r>
      <w:r w:rsidR="00256CFC" w:rsidRPr="004A1A26">
        <w:t>)</w:t>
      </w:r>
      <w:r w:rsidR="00A37E65" w:rsidRPr="004A1A26">
        <w:t xml:space="preserve"> and regulators, and is </w:t>
      </w:r>
      <w:r w:rsidR="00A37E65" w:rsidRPr="004A1A26">
        <w:rPr>
          <w:color w:val="010000"/>
        </w:rPr>
        <w:t>rec</w:t>
      </w:r>
      <w:r w:rsidR="00F340B7" w:rsidRPr="004A1A26">
        <w:rPr>
          <w:color w:val="010000"/>
        </w:rPr>
        <w:t>ognize</w:t>
      </w:r>
      <w:r w:rsidR="00A37E65" w:rsidRPr="004A1A26">
        <w:rPr>
          <w:color w:val="010000"/>
        </w:rPr>
        <w:t>d</w:t>
      </w:r>
      <w:r w:rsidR="00A37E65" w:rsidRPr="004A1A26">
        <w:t xml:space="preserve"> beyond the EU.</w:t>
      </w:r>
    </w:p>
    <w:p w14:paraId="1EBAA6E7" w14:textId="3BAEC63A" w:rsidR="00F340B7" w:rsidRPr="004A1A26" w:rsidRDefault="0086499D" w:rsidP="00B477F5">
      <w:r w:rsidRPr="004A1A26">
        <w:t xml:space="preserve">For marine shipping </w:t>
      </w:r>
      <w:r w:rsidR="00F340B7" w:rsidRPr="004A1A26">
        <w:t>emission</w:t>
      </w:r>
      <w:r w:rsidRPr="004A1A26">
        <w:t xml:space="preserve">s, the International Maritime </w:t>
      </w:r>
      <w:r w:rsidRPr="004A1A26">
        <w:rPr>
          <w:color w:val="010000"/>
        </w:rPr>
        <w:t>Organ</w:t>
      </w:r>
      <w:r w:rsidR="00F340B7" w:rsidRPr="004A1A26">
        <w:rPr>
          <w:color w:val="010000"/>
        </w:rPr>
        <w:t>iza</w:t>
      </w:r>
      <w:r w:rsidRPr="004A1A26">
        <w:rPr>
          <w:color w:val="010000"/>
        </w:rPr>
        <w:t>tion</w:t>
      </w:r>
      <w:r w:rsidRPr="004A1A26">
        <w:t xml:space="preserve"> (IMO) and the International Convention for the Prevention of Pollution from Ships (MARPOL, Annex VI)</w:t>
      </w:r>
      <w:r w:rsidR="008F5A5F" w:rsidRPr="004A1A26">
        <w:t xml:space="preserve"> (International Maritime Organization [IMO] </w:t>
      </w:r>
      <w:r w:rsidR="006C01AF">
        <w:t>2018</w:t>
      </w:r>
      <w:r w:rsidR="008F5A5F" w:rsidRPr="004A1A26">
        <w:t>)</w:t>
      </w:r>
      <w:r w:rsidR="00F908F0">
        <w:t xml:space="preserve"> </w:t>
      </w:r>
      <w:r w:rsidRPr="004A1A26">
        <w:t>set standards for a global limit for sulphur in fuel oil used on board ships of 0.50</w:t>
      </w:r>
      <w:r w:rsidR="00F340B7" w:rsidRPr="004A1A26">
        <w:t> per cent</w:t>
      </w:r>
      <w:r w:rsidRPr="004A1A26">
        <w:t xml:space="preserve"> m/m (mass by mass), to enter into force on 1 January </w:t>
      </w:r>
      <w:r w:rsidR="00F340B7" w:rsidRPr="004A1A26">
        <w:t>2020</w:t>
      </w:r>
      <w:r w:rsidRPr="004A1A26">
        <w:t xml:space="preserve">, representing a fuel-based standard. Compliance can be achieved by ships using low-sulphur compliant fuel oil. In contrast, a </w:t>
      </w:r>
      <w:r w:rsidR="00694B64" w:rsidRPr="007A17D0">
        <w:rPr>
          <w:vertAlign w:val="subscript"/>
        </w:rPr>
        <w:t>nitrogen</w:t>
      </w:r>
      <w:r w:rsidR="00694B64" w:rsidRPr="007A17D0">
        <w:t xml:space="preserve"> </w:t>
      </w:r>
      <w:r w:rsidR="00694B64" w:rsidRPr="004A1A26">
        <w:t>oxide (</w:t>
      </w:r>
      <w:r w:rsidRPr="004A1A26">
        <w:t>NO</w:t>
      </w:r>
      <w:r w:rsidRPr="004A1A26">
        <w:rPr>
          <w:vertAlign w:val="subscript"/>
        </w:rPr>
        <w:t>x</w:t>
      </w:r>
      <w:r w:rsidR="00694B64" w:rsidRPr="004A1A26">
        <w:t>)</w:t>
      </w:r>
      <w:r w:rsidRPr="004A1A26">
        <w:t xml:space="preserve"> Emission Control Area (NECA), which will enter into force for the North Sea and the Baltic Sea from </w:t>
      </w:r>
      <w:r w:rsidR="00256CFC" w:rsidRPr="004A1A26">
        <w:t xml:space="preserve">1 </w:t>
      </w:r>
      <w:r w:rsidRPr="004A1A26">
        <w:t xml:space="preserve">January </w:t>
      </w:r>
      <w:r w:rsidR="00F340B7" w:rsidRPr="004A1A26">
        <w:t>2021</w:t>
      </w:r>
      <w:r w:rsidRPr="004A1A26">
        <w:t xml:space="preserve">, will require all vessels built after </w:t>
      </w:r>
      <w:r w:rsidR="00F340B7" w:rsidRPr="004A1A26">
        <w:t>2021</w:t>
      </w:r>
      <w:r w:rsidRPr="004A1A26">
        <w:t xml:space="preserve"> to comply with </w:t>
      </w:r>
      <w:r w:rsidR="00F340B7" w:rsidRPr="004A1A26">
        <w:t>emission</w:t>
      </w:r>
      <w:r w:rsidR="00256CFC" w:rsidRPr="004A1A26">
        <w:t>s</w:t>
      </w:r>
      <w:r w:rsidRPr="004A1A26">
        <w:t xml:space="preserve"> standards aimed to reduce NO</w:t>
      </w:r>
      <w:r w:rsidRPr="004A1A26">
        <w:rPr>
          <w:vertAlign w:val="subscript"/>
        </w:rPr>
        <w:t>x</w:t>
      </w:r>
      <w:r w:rsidR="00F908F0">
        <w:rPr>
          <w:vertAlign w:val="subscript"/>
        </w:rPr>
        <w:t xml:space="preserve"> </w:t>
      </w:r>
      <w:r w:rsidR="00F340B7" w:rsidRPr="004A1A26">
        <w:t>emission</w:t>
      </w:r>
      <w:r w:rsidRPr="004A1A26">
        <w:t>s by 80</w:t>
      </w:r>
      <w:r w:rsidR="00F340B7" w:rsidRPr="004A1A26">
        <w:t> per cent</w:t>
      </w:r>
      <w:r w:rsidRPr="004A1A26">
        <w:t xml:space="preserve"> compared to present levels. Compliance can only be achieved in </w:t>
      </w:r>
      <w:r w:rsidR="00F340B7" w:rsidRPr="004A1A26">
        <w:t>practice</w:t>
      </w:r>
      <w:r w:rsidRPr="004A1A26">
        <w:t xml:space="preserve"> by equipping vessels with catalysts or using liquefied natural gas (LNG) fuels. </w:t>
      </w:r>
      <w:r w:rsidR="001E40C2" w:rsidRPr="004A1A26">
        <w:t>E</w:t>
      </w:r>
      <w:r w:rsidRPr="004A1A26">
        <w:t xml:space="preserve">xisting </w:t>
      </w:r>
      <w:r w:rsidR="00F340B7" w:rsidRPr="004A1A26">
        <w:t>emission</w:t>
      </w:r>
      <w:r w:rsidRPr="004A1A26">
        <w:t xml:space="preserve"> control areas for </w:t>
      </w:r>
      <w:r w:rsidR="00686BB3" w:rsidRPr="004A1A26">
        <w:t>sulphur oxide (</w:t>
      </w:r>
      <w:proofErr w:type="spellStart"/>
      <w:r w:rsidRPr="004A1A26">
        <w:t>SO</w:t>
      </w:r>
      <w:r w:rsidRPr="004A1A26">
        <w:rPr>
          <w:vertAlign w:val="subscript"/>
        </w:rPr>
        <w:t>x</w:t>
      </w:r>
      <w:proofErr w:type="spellEnd"/>
      <w:r w:rsidR="00686BB3" w:rsidRPr="004A1A26">
        <w:t>)</w:t>
      </w:r>
      <w:r w:rsidRPr="004A1A26">
        <w:t xml:space="preserve"> cover the Baltic Sea (19 May </w:t>
      </w:r>
      <w:r w:rsidR="00F340B7" w:rsidRPr="004A1A26">
        <w:t>2006</w:t>
      </w:r>
      <w:r w:rsidRPr="004A1A26">
        <w:t xml:space="preserve">) and the North Sea (22 November </w:t>
      </w:r>
      <w:r w:rsidR="00F340B7" w:rsidRPr="004A1A26">
        <w:t>2007</w:t>
      </w:r>
      <w:r w:rsidRPr="004A1A26">
        <w:t xml:space="preserve">), and for </w:t>
      </w:r>
      <w:proofErr w:type="spellStart"/>
      <w:r w:rsidRPr="004A1A26">
        <w:t>SO</w:t>
      </w:r>
      <w:r w:rsidRPr="004A1A26">
        <w:rPr>
          <w:vertAlign w:val="subscript"/>
        </w:rPr>
        <w:t>x</w:t>
      </w:r>
      <w:proofErr w:type="spellEnd"/>
      <w:r w:rsidRPr="004A1A26">
        <w:t xml:space="preserve"> and NO</w:t>
      </w:r>
      <w:r w:rsidRPr="004A1A26">
        <w:rPr>
          <w:vertAlign w:val="subscript"/>
        </w:rPr>
        <w:t>x</w:t>
      </w:r>
      <w:r w:rsidRPr="004A1A26">
        <w:t xml:space="preserve"> the North American </w:t>
      </w:r>
      <w:r w:rsidR="001E40C2" w:rsidRPr="004A1A26">
        <w:t>e</w:t>
      </w:r>
      <w:r w:rsidR="00F340B7" w:rsidRPr="004A1A26">
        <w:t>ast</w:t>
      </w:r>
      <w:r w:rsidRPr="004A1A26">
        <w:t xml:space="preserve"> and </w:t>
      </w:r>
      <w:r w:rsidR="001E40C2" w:rsidRPr="004A1A26">
        <w:t>w</w:t>
      </w:r>
      <w:r w:rsidR="00F340B7" w:rsidRPr="004A1A26">
        <w:t>est</w:t>
      </w:r>
      <w:r w:rsidR="00F908F0">
        <w:t xml:space="preserve"> </w:t>
      </w:r>
      <w:r w:rsidR="001E40C2" w:rsidRPr="004A1A26">
        <w:t>c</w:t>
      </w:r>
      <w:r w:rsidRPr="004A1A26">
        <w:t xml:space="preserve">oasts (1 August </w:t>
      </w:r>
      <w:r w:rsidR="00F340B7" w:rsidRPr="004A1A26">
        <w:t>2012</w:t>
      </w:r>
      <w:r w:rsidRPr="004A1A26">
        <w:t xml:space="preserve">) and the US Caribbean Sea (1 January </w:t>
      </w:r>
      <w:r w:rsidR="00F340B7" w:rsidRPr="004A1A26">
        <w:t>2014</w:t>
      </w:r>
      <w:r w:rsidRPr="004A1A26">
        <w:t>).</w:t>
      </w:r>
    </w:p>
    <w:p w14:paraId="79A1B951" w14:textId="57C0DD90" w:rsidR="00F340B7" w:rsidRPr="004A1A26" w:rsidRDefault="0086499D" w:rsidP="00B477F5">
      <w:r w:rsidRPr="004A1A26">
        <w:t>The effectiveness of technol</w:t>
      </w:r>
      <w:r w:rsidR="00F340B7" w:rsidRPr="004A1A26">
        <w:t>ogy</w:t>
      </w:r>
      <w:r w:rsidRPr="004A1A26">
        <w:t xml:space="preserve"> and </w:t>
      </w:r>
      <w:r w:rsidR="00F340B7" w:rsidRPr="004A1A26">
        <w:t>emission</w:t>
      </w:r>
      <w:r w:rsidRPr="004A1A26">
        <w:t xml:space="preserve">s standards </w:t>
      </w:r>
      <w:r w:rsidR="00F340B7" w:rsidRPr="004A1A26">
        <w:t>depend</w:t>
      </w:r>
      <w:r w:rsidR="001E40C2" w:rsidRPr="004A1A26">
        <w:t>s</w:t>
      </w:r>
      <w:r w:rsidRPr="004A1A26">
        <w:t xml:space="preserve"> on the level of compliance, affordability and the extent to which the standards reflect the real-world impact of the </w:t>
      </w:r>
      <w:r w:rsidR="00F340B7" w:rsidRPr="004A1A26">
        <w:t>emission</w:t>
      </w:r>
      <w:r w:rsidRPr="004A1A26">
        <w:t xml:space="preserve">s sources. The level of compliance, in turn, </w:t>
      </w:r>
      <w:r w:rsidR="00F340B7" w:rsidRPr="004A1A26">
        <w:t>depend</w:t>
      </w:r>
      <w:r w:rsidR="001E40C2" w:rsidRPr="004A1A26">
        <w:t>s</w:t>
      </w:r>
      <w:r w:rsidRPr="004A1A26">
        <w:t xml:space="preserve"> on the level of education, as </w:t>
      </w:r>
      <w:r w:rsidR="00F340B7" w:rsidRPr="004A1A26">
        <w:t>well</w:t>
      </w:r>
      <w:r w:rsidRPr="004A1A26">
        <w:t xml:space="preserve"> as monitoring and enforcement, among other factors.</w:t>
      </w:r>
      <w:r w:rsidR="00F908F0">
        <w:t xml:space="preserve"> </w:t>
      </w:r>
      <w:r w:rsidRPr="004A1A26">
        <w:t xml:space="preserve">However, in </w:t>
      </w:r>
      <w:r w:rsidRPr="004A1A26">
        <w:lastRenderedPageBreak/>
        <w:t>countries or jurisdictions where the government has little capacity to enforce standards through inspections and audits, compliance with standards can be low. Even in countries where sophisticated inspections and audits are routine, some businesses and individuals may violate standards to gain a competitive economic advantage.</w:t>
      </w:r>
    </w:p>
    <w:p w14:paraId="4C4F4A9E" w14:textId="41762E35" w:rsidR="00F340B7" w:rsidRPr="004A1A26" w:rsidRDefault="0086499D" w:rsidP="00B477F5">
      <w:r w:rsidRPr="004A1A26">
        <w:t>Cost</w:t>
      </w:r>
      <w:r w:rsidR="00694B64" w:rsidRPr="004A1A26">
        <w:t>–b</w:t>
      </w:r>
      <w:r w:rsidRPr="004A1A26">
        <w:t xml:space="preserve">enefit </w:t>
      </w:r>
      <w:r w:rsidR="00694B64" w:rsidRPr="004A1A26">
        <w:t>a</w:t>
      </w:r>
      <w:r w:rsidRPr="004A1A26">
        <w:t xml:space="preserve">nalyses, such as conducted by </w:t>
      </w:r>
      <w:proofErr w:type="spellStart"/>
      <w:r w:rsidR="008F5A5F" w:rsidRPr="004A1A26">
        <w:rPr>
          <w:rFonts w:eastAsia="Cambria" w:cs="Segoe UI"/>
        </w:rPr>
        <w:t>Åström</w:t>
      </w:r>
      <w:r w:rsidRPr="004A1A26">
        <w:rPr>
          <w:i/>
        </w:rPr>
        <w:t>et</w:t>
      </w:r>
      <w:proofErr w:type="spellEnd"/>
      <w:r w:rsidRPr="004A1A26">
        <w:rPr>
          <w:i/>
        </w:rPr>
        <w:t xml:space="preserve"> al.</w:t>
      </w:r>
      <w:r w:rsidRPr="004A1A26">
        <w:t xml:space="preserve"> (</w:t>
      </w:r>
      <w:r w:rsidR="00F340B7" w:rsidRPr="004A1A26">
        <w:t>2018</w:t>
      </w:r>
      <w:r w:rsidRPr="004A1A26">
        <w:t xml:space="preserve">), can provide an insight into the cost-effectiveness and the distributional effects of setting standards, for </w:t>
      </w:r>
      <w:r w:rsidR="00694B64" w:rsidRPr="004A1A26">
        <w:t xml:space="preserve">both </w:t>
      </w:r>
      <w:r w:rsidRPr="004A1A26">
        <w:rPr>
          <w:i/>
        </w:rPr>
        <w:t>ex</w:t>
      </w:r>
      <w:r w:rsidR="00F908F0">
        <w:rPr>
          <w:i/>
        </w:rPr>
        <w:t xml:space="preserve"> </w:t>
      </w:r>
      <w:r w:rsidRPr="004A1A26">
        <w:rPr>
          <w:i/>
        </w:rPr>
        <w:t>ante</w:t>
      </w:r>
      <w:r w:rsidRPr="004A1A26">
        <w:t xml:space="preserve"> and </w:t>
      </w:r>
      <w:r w:rsidRPr="004A1A26">
        <w:rPr>
          <w:i/>
        </w:rPr>
        <w:t>ex</w:t>
      </w:r>
      <w:r w:rsidR="00F908F0">
        <w:rPr>
          <w:i/>
        </w:rPr>
        <w:t xml:space="preserve"> </w:t>
      </w:r>
      <w:r w:rsidRPr="004A1A26">
        <w:rPr>
          <w:i/>
        </w:rPr>
        <w:t>post</w:t>
      </w:r>
      <w:r w:rsidRPr="004A1A26">
        <w:t xml:space="preserve"> evaluations.</w:t>
      </w:r>
    </w:p>
    <w:p w14:paraId="18EE6259" w14:textId="24987065" w:rsidR="00F340B7" w:rsidRPr="004A1A26" w:rsidRDefault="0086499D" w:rsidP="00B477F5">
      <w:r w:rsidRPr="004A1A26">
        <w:t>Finally, the use of solid fuels</w:t>
      </w:r>
      <w:r w:rsidR="00694B64" w:rsidRPr="004A1A26">
        <w:t>,</w:t>
      </w:r>
      <w:r w:rsidRPr="004A1A26">
        <w:t xml:space="preserve"> including biomass</w:t>
      </w:r>
      <w:r w:rsidR="00694B64" w:rsidRPr="004A1A26">
        <w:t>,</w:t>
      </w:r>
      <w:r w:rsidRPr="004A1A26">
        <w:t xml:space="preserve"> in residential boilers is gaining more attention recently, as other key sectors have been regulated in the past decades. </w:t>
      </w:r>
      <w:r w:rsidR="0020393A" w:rsidRPr="004A1A26">
        <w:t>For example, the European Commission has established performance standards for solid-fuel space heaters with a nominal heat output of 5</w:t>
      </w:r>
      <w:r w:rsidR="00F340B7" w:rsidRPr="004A1A26">
        <w:t>0</w:t>
      </w:r>
      <w:r w:rsidR="00F908F0">
        <w:t xml:space="preserve"> </w:t>
      </w:r>
      <w:r w:rsidR="00F340B7" w:rsidRPr="004A1A26">
        <w:t>k</w:t>
      </w:r>
      <w:r w:rsidR="0020393A" w:rsidRPr="004A1A26">
        <w:t xml:space="preserve">W or less, which have so far been mostly unregulated and may contribute to local air quality problems due to </w:t>
      </w:r>
      <w:r w:rsidR="00F340B7" w:rsidRPr="004A1A26">
        <w:t>emission</w:t>
      </w:r>
      <w:r w:rsidR="0020393A" w:rsidRPr="004A1A26">
        <w:t>s of NO</w:t>
      </w:r>
      <w:r w:rsidR="0020393A" w:rsidRPr="004A1A26">
        <w:rPr>
          <w:vertAlign w:val="subscript"/>
        </w:rPr>
        <w:t>x</w:t>
      </w:r>
      <w:r w:rsidR="0020393A" w:rsidRPr="004A1A26">
        <w:t xml:space="preserve"> and </w:t>
      </w:r>
      <w:r w:rsidR="00694B64" w:rsidRPr="004A1A26">
        <w:t>particulate</w:t>
      </w:r>
      <w:r w:rsidR="00686BB3" w:rsidRPr="004A1A26">
        <w:t xml:space="preserve"> matter</w:t>
      </w:r>
      <w:r w:rsidR="00F908F0">
        <w:t xml:space="preserve"> </w:t>
      </w:r>
      <w:r w:rsidR="003E15B1" w:rsidRPr="004A1A26">
        <w:t xml:space="preserve">less than 2.5 </w:t>
      </w:r>
      <w:proofErr w:type="spellStart"/>
      <w:r w:rsidR="003E15B1" w:rsidRPr="004A1A26">
        <w:t>μm</w:t>
      </w:r>
      <w:proofErr w:type="spellEnd"/>
      <w:r w:rsidR="00F908F0">
        <w:t xml:space="preserve"> </w:t>
      </w:r>
      <w:r w:rsidR="00694B64" w:rsidRPr="004A1A26">
        <w:t>(</w:t>
      </w:r>
      <w:r w:rsidR="0020393A" w:rsidRPr="004A1A26">
        <w:t>PM</w:t>
      </w:r>
      <w:r w:rsidR="0020393A" w:rsidRPr="004A1A26">
        <w:rPr>
          <w:vertAlign w:val="subscript"/>
        </w:rPr>
        <w:t>2.5</w:t>
      </w:r>
      <w:r w:rsidR="00694B64" w:rsidRPr="004A1A26">
        <w:t>)</w:t>
      </w:r>
      <w:r w:rsidR="0020393A" w:rsidRPr="004A1A26">
        <w:t xml:space="preserve"> (E</w:t>
      </w:r>
      <w:r w:rsidR="009C0ACF" w:rsidRPr="004A1A26">
        <w:t xml:space="preserve">uropean </w:t>
      </w:r>
      <w:r w:rsidR="0020393A" w:rsidRPr="004A1A26">
        <w:t>U</w:t>
      </w:r>
      <w:r w:rsidR="009C0ACF" w:rsidRPr="004A1A26">
        <w:t>nion</w:t>
      </w:r>
      <w:r w:rsidR="00B7678C">
        <w:t xml:space="preserve"> </w:t>
      </w:r>
      <w:r w:rsidR="00F340B7" w:rsidRPr="004A1A26">
        <w:t>2015</w:t>
      </w:r>
      <w:r w:rsidR="0020393A" w:rsidRPr="004A1A26">
        <w:t>)</w:t>
      </w:r>
      <w:r w:rsidR="00A41281" w:rsidRPr="004A1A26">
        <w:t>. Similarly, t</w:t>
      </w:r>
      <w:r w:rsidRPr="004A1A26">
        <w:t xml:space="preserve">he EU </w:t>
      </w:r>
      <w:proofErr w:type="spellStart"/>
      <w:r w:rsidRPr="004A1A26">
        <w:t>Ecodesign</w:t>
      </w:r>
      <w:proofErr w:type="spellEnd"/>
      <w:r w:rsidRPr="004A1A26">
        <w:t xml:space="preserve">-Directive (Directive </w:t>
      </w:r>
      <w:r w:rsidR="00F340B7" w:rsidRPr="004A1A26">
        <w:t>2009</w:t>
      </w:r>
      <w:r w:rsidRPr="004A1A26">
        <w:t>/125/EC)</w:t>
      </w:r>
      <w:r w:rsidR="00F908F0">
        <w:t xml:space="preserve"> </w:t>
      </w:r>
      <w:r w:rsidR="00A41281" w:rsidRPr="004A1A26">
        <w:t xml:space="preserve">establishes a framework for setting </w:t>
      </w:r>
      <w:proofErr w:type="spellStart"/>
      <w:r w:rsidR="00A41281" w:rsidRPr="004A1A26">
        <w:t>ecodesign</w:t>
      </w:r>
      <w:proofErr w:type="spellEnd"/>
      <w:r w:rsidR="00A41281" w:rsidRPr="004A1A26">
        <w:t xml:space="preserve"> requirements for energy-related products, household appliances, and </w:t>
      </w:r>
      <w:r w:rsidR="00F340B7" w:rsidRPr="004A1A26">
        <w:t>information and communications technologies</w:t>
      </w:r>
      <w:r w:rsidR="00A41281" w:rsidRPr="004A1A26">
        <w:t>.</w:t>
      </w:r>
    </w:p>
    <w:p w14:paraId="0C3FA6BC" w14:textId="77777777" w:rsidR="00F340B7" w:rsidRPr="004A1A26" w:rsidRDefault="0086499D" w:rsidP="00B477F5">
      <w:r w:rsidRPr="004A1A26">
        <w:t xml:space="preserve">The following case study illustrates the effectiveness of </w:t>
      </w:r>
      <w:r w:rsidR="00F340B7" w:rsidRPr="004A1A26">
        <w:t>emission</w:t>
      </w:r>
      <w:r w:rsidR="00694B64" w:rsidRPr="004A1A26">
        <w:t>s</w:t>
      </w:r>
      <w:r w:rsidRPr="004A1A26">
        <w:t xml:space="preserve"> standards through a type approval scheme on the example of the E</w:t>
      </w:r>
      <w:r w:rsidR="00F340B7" w:rsidRPr="004A1A26">
        <w:t>uro</w:t>
      </w:r>
      <w:r w:rsidRPr="004A1A26">
        <w:t xml:space="preserve"> 6 vehicle </w:t>
      </w:r>
      <w:r w:rsidR="00F340B7" w:rsidRPr="004A1A26">
        <w:t>emission</w:t>
      </w:r>
      <w:r w:rsidRPr="004A1A26">
        <w:t>s standards, the difference between how compliance is measured and real-world performance, and the efforts of some businesses to thwart compliance testing.</w:t>
      </w:r>
    </w:p>
    <w:p w14:paraId="00EC28D5" w14:textId="77777777" w:rsidR="00F340B7" w:rsidRPr="004A1A26" w:rsidRDefault="00F32F98" w:rsidP="00375A5D">
      <w:pPr>
        <w:pStyle w:val="Heading4"/>
      </w:pPr>
      <w:bookmarkStart w:id="23" w:name="_Toc516842466"/>
      <w:r w:rsidRPr="004A1A26">
        <w:t xml:space="preserve">Case </w:t>
      </w:r>
      <w:r w:rsidR="00694B64" w:rsidRPr="004A1A26">
        <w:t>s</w:t>
      </w:r>
      <w:r w:rsidRPr="004A1A26">
        <w:t xml:space="preserve">tudy: Excess </w:t>
      </w:r>
      <w:r w:rsidR="00694B64" w:rsidRPr="004A1A26">
        <w:t>d</w:t>
      </w:r>
      <w:r w:rsidRPr="004A1A26">
        <w:t xml:space="preserve">iesel </w:t>
      </w:r>
      <w:r w:rsidR="00694B64" w:rsidRPr="004A1A26">
        <w:t>e</w:t>
      </w:r>
      <w:r w:rsidRPr="004A1A26">
        <w:t>missions in Europe</w:t>
      </w:r>
      <w:bookmarkEnd w:id="20"/>
      <w:bookmarkEnd w:id="21"/>
      <w:bookmarkEnd w:id="22"/>
      <w:bookmarkEnd w:id="23"/>
    </w:p>
    <w:p w14:paraId="7EE71F22" w14:textId="626D6B70" w:rsidR="00F340B7" w:rsidRPr="004A1A26" w:rsidRDefault="0062718D" w:rsidP="00B477F5">
      <w:r w:rsidRPr="004A1A26">
        <w:t xml:space="preserve">Since the 1970s, the key mechanism for regulating vehicle air pollutant </w:t>
      </w:r>
      <w:r w:rsidR="00F340B7" w:rsidRPr="004A1A26">
        <w:t>emission</w:t>
      </w:r>
      <w:r w:rsidRPr="004A1A26">
        <w:t xml:space="preserve">s in Europe has been a regulatory/command and control policy that has </w:t>
      </w:r>
      <w:r w:rsidR="00F340B7" w:rsidRPr="004A1A26">
        <w:t>progress</w:t>
      </w:r>
      <w:r w:rsidRPr="004A1A26">
        <w:t xml:space="preserve">ively set increasingly stringent standards for </w:t>
      </w:r>
      <w:r w:rsidR="00F340B7" w:rsidRPr="004A1A26">
        <w:t>emission</w:t>
      </w:r>
      <w:r w:rsidRPr="004A1A26">
        <w:t xml:space="preserve">s of air pollutants and </w:t>
      </w:r>
      <w:r w:rsidR="00297B38" w:rsidRPr="004A1A26">
        <w:t>GHGs</w:t>
      </w:r>
      <w:r w:rsidRPr="004A1A26">
        <w:t xml:space="preserve"> (since </w:t>
      </w:r>
      <w:r w:rsidR="00F340B7" w:rsidRPr="004A1A26">
        <w:t>2009</w:t>
      </w:r>
      <w:r w:rsidRPr="004A1A26">
        <w:t xml:space="preserve">). A series of directives, known as </w:t>
      </w:r>
      <w:r w:rsidR="00694B64" w:rsidRPr="004A1A26">
        <w:t>E</w:t>
      </w:r>
      <w:r w:rsidR="00F340B7" w:rsidRPr="004A1A26">
        <w:t>uro</w:t>
      </w:r>
      <w:r w:rsidRPr="004A1A26">
        <w:t xml:space="preserve"> standards, define the acceptable limits for exhaust </w:t>
      </w:r>
      <w:r w:rsidR="00F340B7" w:rsidRPr="004A1A26">
        <w:t>emission</w:t>
      </w:r>
      <w:r w:rsidRPr="004A1A26">
        <w:t xml:space="preserve">s of new road vehicles sold in the EU. The </w:t>
      </w:r>
      <w:r w:rsidR="00694B64" w:rsidRPr="004A1A26">
        <w:t>E</w:t>
      </w:r>
      <w:r w:rsidR="00F340B7" w:rsidRPr="004A1A26">
        <w:t>uro</w:t>
      </w:r>
      <w:r w:rsidRPr="004A1A26">
        <w:t xml:space="preserve"> standards, starting with the release of </w:t>
      </w:r>
      <w:r w:rsidR="00694B64" w:rsidRPr="004A1A26">
        <w:t>E</w:t>
      </w:r>
      <w:r w:rsidR="00F340B7" w:rsidRPr="004A1A26">
        <w:t>uro</w:t>
      </w:r>
      <w:r w:rsidRPr="004A1A26">
        <w:t xml:space="preserve"> 1</w:t>
      </w:r>
      <w:r w:rsidR="00694B64" w:rsidRPr="004A1A26">
        <w:t>,</w:t>
      </w:r>
      <w:r w:rsidR="00F908F0">
        <w:t xml:space="preserve"> </w:t>
      </w:r>
      <w:r w:rsidR="00694B64" w:rsidRPr="004A1A26">
        <w:t>which</w:t>
      </w:r>
      <w:r w:rsidRPr="004A1A26">
        <w:t xml:space="preserve"> enter</w:t>
      </w:r>
      <w:r w:rsidR="00694B64" w:rsidRPr="004A1A26">
        <w:t>ed</w:t>
      </w:r>
      <w:r w:rsidRPr="004A1A26">
        <w:t xml:space="preserve"> into force in </w:t>
      </w:r>
      <w:r w:rsidR="00F340B7" w:rsidRPr="004A1A26">
        <w:t>1993</w:t>
      </w:r>
      <w:r w:rsidRPr="004A1A26">
        <w:t>, have since been amended</w:t>
      </w:r>
      <w:r w:rsidR="004E090D" w:rsidRPr="004A1A26">
        <w:t xml:space="preserve"> regularly</w:t>
      </w:r>
      <w:r w:rsidRPr="004A1A26">
        <w:t xml:space="preserve">. The most recent </w:t>
      </w:r>
      <w:r w:rsidR="00694B64" w:rsidRPr="004A1A26">
        <w:t>E</w:t>
      </w:r>
      <w:r w:rsidR="00F340B7" w:rsidRPr="004A1A26">
        <w:t>uro</w:t>
      </w:r>
      <w:r w:rsidRPr="004A1A26">
        <w:t xml:space="preserve"> standard is </w:t>
      </w:r>
      <w:r w:rsidR="00694B64" w:rsidRPr="004A1A26">
        <w:t>E</w:t>
      </w:r>
      <w:r w:rsidR="00F340B7" w:rsidRPr="004A1A26">
        <w:t>uro</w:t>
      </w:r>
      <w:r w:rsidRPr="004A1A26">
        <w:t xml:space="preserve"> 6 for light passenger and commercial vehicles, which came into force in </w:t>
      </w:r>
      <w:r w:rsidR="00F340B7" w:rsidRPr="004A1A26">
        <w:t>2014</w:t>
      </w:r>
      <w:r w:rsidR="00D31F00" w:rsidRPr="004A1A26">
        <w:t xml:space="preserve"> (Commission Regulation (EU) No 582/2011)</w:t>
      </w:r>
      <w:r w:rsidRPr="004A1A26">
        <w:t>.</w:t>
      </w:r>
    </w:p>
    <w:p w14:paraId="03A25E8E" w14:textId="5A1C1A52" w:rsidR="00F340B7" w:rsidRPr="004A1A26" w:rsidRDefault="0062718D" w:rsidP="00B477F5">
      <w:r w:rsidRPr="004A1A26">
        <w:t xml:space="preserve">The aim of this policy is to contribute to reductions in actual or real-world </w:t>
      </w:r>
      <w:r w:rsidR="00F340B7" w:rsidRPr="004A1A26">
        <w:t>emission</w:t>
      </w:r>
      <w:r w:rsidRPr="004A1A26">
        <w:t xml:space="preserve">s from road transport, an important source of </w:t>
      </w:r>
      <w:r w:rsidR="004E090D" w:rsidRPr="004A1A26">
        <w:t>GHG</w:t>
      </w:r>
      <w:r w:rsidRPr="004A1A26">
        <w:t xml:space="preserve"> and air pollutant </w:t>
      </w:r>
      <w:r w:rsidR="00F340B7" w:rsidRPr="004A1A26">
        <w:t>emission</w:t>
      </w:r>
      <w:r w:rsidRPr="004A1A26">
        <w:t xml:space="preserve">s. However, road transport enables people to access employment, education, goods and services. Manufacturers of road vehicles in the EU also contribute to the economy and employment. Hence, the policy aims to achieve a balance </w:t>
      </w:r>
      <w:r w:rsidR="00F908F0">
        <w:t>across</w:t>
      </w:r>
      <w:r w:rsidR="00F908F0" w:rsidRPr="004A1A26">
        <w:t xml:space="preserve"> </w:t>
      </w:r>
      <w:r w:rsidRPr="004A1A26">
        <w:t>these objectives.</w:t>
      </w:r>
    </w:p>
    <w:p w14:paraId="07122EB4" w14:textId="032A91BC" w:rsidR="00F340B7" w:rsidRPr="004A1A26" w:rsidRDefault="0062718D" w:rsidP="00B477F5">
      <w:r w:rsidRPr="004A1A26">
        <w:t xml:space="preserve">The </w:t>
      </w:r>
      <w:r w:rsidR="00686BB3" w:rsidRPr="004A1A26">
        <w:t xml:space="preserve">main objective of the original European standards was the </w:t>
      </w:r>
      <w:r w:rsidRPr="004A1A26">
        <w:t xml:space="preserve">reduction of </w:t>
      </w:r>
      <w:r w:rsidR="00F340B7" w:rsidRPr="004A1A26">
        <w:t>emission</w:t>
      </w:r>
      <w:r w:rsidRPr="004A1A26">
        <w:t>s of NO</w:t>
      </w:r>
      <w:r w:rsidRPr="004A1A26">
        <w:rPr>
          <w:vertAlign w:val="subscript"/>
        </w:rPr>
        <w:t>x</w:t>
      </w:r>
      <w:r w:rsidRPr="004A1A26">
        <w:t xml:space="preserve">, </w:t>
      </w:r>
      <w:r w:rsidR="00686BB3" w:rsidRPr="004A1A26">
        <w:t>carbon monoxide (</w:t>
      </w:r>
      <w:r w:rsidRPr="004A1A26">
        <w:t>CO</w:t>
      </w:r>
      <w:r w:rsidR="00686BB3" w:rsidRPr="004A1A26">
        <w:t>)</w:t>
      </w:r>
      <w:r w:rsidRPr="004A1A26">
        <w:t>, PM</w:t>
      </w:r>
      <w:r w:rsidRPr="004A1A26">
        <w:rPr>
          <w:vertAlign w:val="subscript"/>
        </w:rPr>
        <w:t xml:space="preserve">2.5 </w:t>
      </w:r>
      <w:r w:rsidRPr="004A1A26">
        <w:t xml:space="preserve">and </w:t>
      </w:r>
      <w:r w:rsidR="00694B64" w:rsidRPr="004A1A26">
        <w:t>volatile organic compounds (</w:t>
      </w:r>
      <w:r w:rsidRPr="004A1A26">
        <w:t>VOCs</w:t>
      </w:r>
      <w:r w:rsidR="00694B64" w:rsidRPr="004A1A26">
        <w:t>)</w:t>
      </w:r>
      <w:r w:rsidRPr="004A1A26">
        <w:t xml:space="preserve">, as </w:t>
      </w:r>
      <w:r w:rsidR="00F340B7" w:rsidRPr="004A1A26">
        <w:t>well</w:t>
      </w:r>
      <w:r w:rsidRPr="004A1A26">
        <w:t xml:space="preserve"> as </w:t>
      </w:r>
      <w:r w:rsidR="00686BB3" w:rsidRPr="004A1A26">
        <w:t>carbon dioxide (</w:t>
      </w:r>
      <w:r w:rsidRPr="004A1A26">
        <w:t>CO</w:t>
      </w:r>
      <w:r w:rsidRPr="004A1A26">
        <w:rPr>
          <w:vertAlign w:val="subscript"/>
        </w:rPr>
        <w:t>2</w:t>
      </w:r>
      <w:r w:rsidR="00686BB3" w:rsidRPr="004A1A26">
        <w:t>)</w:t>
      </w:r>
      <w:r w:rsidRPr="004A1A26">
        <w:t xml:space="preserve"> and other pollutants, and subsequent amendments have implemented further limits. </w:t>
      </w:r>
      <w:r w:rsidR="00A37E65" w:rsidRPr="004A1A26">
        <w:t xml:space="preserve">Furthermore, increasingly strict </w:t>
      </w:r>
      <w:r w:rsidR="00686BB3" w:rsidRPr="004A1A26">
        <w:t>E</w:t>
      </w:r>
      <w:r w:rsidR="00F340B7" w:rsidRPr="004A1A26">
        <w:t>uro</w:t>
      </w:r>
      <w:r w:rsidR="00A37E65" w:rsidRPr="004A1A26">
        <w:t xml:space="preserve"> standards require cleaner petrol and diesel fuels (</w:t>
      </w:r>
      <w:r w:rsidR="00686BB3" w:rsidRPr="004A1A26">
        <w:t xml:space="preserve">the </w:t>
      </w:r>
      <w:r w:rsidR="00A37E65" w:rsidRPr="004A1A26">
        <w:t xml:space="preserve">quality </w:t>
      </w:r>
      <w:r w:rsidR="00686BB3" w:rsidRPr="004A1A26">
        <w:t xml:space="preserve">of which </w:t>
      </w:r>
      <w:r w:rsidR="00A37E65" w:rsidRPr="004A1A26">
        <w:t xml:space="preserve">was regulated by Directive </w:t>
      </w:r>
      <w:r w:rsidR="00F340B7" w:rsidRPr="004A1A26">
        <w:lastRenderedPageBreak/>
        <w:t>2003</w:t>
      </w:r>
      <w:r w:rsidR="00A37E65" w:rsidRPr="004A1A26">
        <w:t xml:space="preserve">/17/EC, e.g. low </w:t>
      </w:r>
      <w:r w:rsidR="00F340B7" w:rsidRPr="004A1A26">
        <w:t>sulph</w:t>
      </w:r>
      <w:r w:rsidR="00A37E65" w:rsidRPr="004A1A26">
        <w:t>ur content), leading to</w:t>
      </w:r>
      <w:r w:rsidR="00686BB3" w:rsidRPr="004A1A26">
        <w:t>, for example,</w:t>
      </w:r>
      <w:r w:rsidR="00A37E65" w:rsidRPr="004A1A26">
        <w:t xml:space="preserve"> lower PM </w:t>
      </w:r>
      <w:r w:rsidR="00F340B7" w:rsidRPr="004A1A26">
        <w:t>emission</w:t>
      </w:r>
      <w:r w:rsidR="00A37E65" w:rsidRPr="004A1A26">
        <w:t>s. These regulations have been driven primarily by air pollution effects on human health and</w:t>
      </w:r>
      <w:r w:rsidR="00686BB3" w:rsidRPr="004A1A26">
        <w:t>—</w:t>
      </w:r>
      <w:r w:rsidR="00A37E65" w:rsidRPr="004A1A26">
        <w:t>to a lesser extent</w:t>
      </w:r>
      <w:r w:rsidR="00686BB3" w:rsidRPr="004A1A26">
        <w:t>—</w:t>
      </w:r>
      <w:r w:rsidR="00A37E65" w:rsidRPr="004A1A26">
        <w:t xml:space="preserve">natural and </w:t>
      </w:r>
      <w:r w:rsidR="00F340B7" w:rsidRPr="004A1A26">
        <w:t>semi</w:t>
      </w:r>
      <w:r w:rsidR="00A37E65" w:rsidRPr="004A1A26">
        <w:t xml:space="preserve">-natural ecosystems, in addition to climate change. </w:t>
      </w:r>
      <w:r w:rsidR="004E090D" w:rsidRPr="004A1A26">
        <w:t>T</w:t>
      </w:r>
      <w:r w:rsidRPr="004A1A26">
        <w:t xml:space="preserve">hese increasingly stringent </w:t>
      </w:r>
      <w:r w:rsidR="00F340B7" w:rsidRPr="004A1A26">
        <w:t>emission</w:t>
      </w:r>
      <w:r w:rsidR="00686BB3" w:rsidRPr="004A1A26">
        <w:t>s</w:t>
      </w:r>
      <w:r w:rsidRPr="004A1A26">
        <w:t xml:space="preserve"> standards have achieved positive results. They have led to the introduction of new vehicle technol</w:t>
      </w:r>
      <w:r w:rsidR="00F340B7" w:rsidRPr="004A1A26">
        <w:t>ogies</w:t>
      </w:r>
      <w:r w:rsidRPr="004A1A26">
        <w:t xml:space="preserve">, which have achieved significant reductions in vehicle </w:t>
      </w:r>
      <w:r w:rsidR="00F340B7" w:rsidRPr="004A1A26">
        <w:t>emission</w:t>
      </w:r>
      <w:r w:rsidRPr="004A1A26">
        <w:t>s over recent decades in Europe. For example, the latest standard (</w:t>
      </w:r>
      <w:r w:rsidR="00686BB3" w:rsidRPr="004A1A26">
        <w:t>E</w:t>
      </w:r>
      <w:r w:rsidR="00F340B7" w:rsidRPr="004A1A26">
        <w:t>uro</w:t>
      </w:r>
      <w:r w:rsidRPr="004A1A26">
        <w:t xml:space="preserve"> 6) for diesel cars requires a reduction of almost 97</w:t>
      </w:r>
      <w:r w:rsidR="00F340B7" w:rsidRPr="004A1A26">
        <w:t> per cent</w:t>
      </w:r>
      <w:r w:rsidRPr="004A1A26">
        <w:t xml:space="preserve"> of PM </w:t>
      </w:r>
      <w:r w:rsidR="00F340B7" w:rsidRPr="004A1A26">
        <w:t>emission</w:t>
      </w:r>
      <w:r w:rsidRPr="004A1A26">
        <w:t xml:space="preserve">s compared to the </w:t>
      </w:r>
      <w:r w:rsidR="00686BB3" w:rsidRPr="004A1A26">
        <w:t>E</w:t>
      </w:r>
      <w:r w:rsidR="00F340B7" w:rsidRPr="004A1A26">
        <w:t>uro</w:t>
      </w:r>
      <w:r w:rsidRPr="004A1A26">
        <w:t xml:space="preserve"> 1 standard for a 20-year</w:t>
      </w:r>
      <w:r w:rsidR="00686BB3" w:rsidRPr="004A1A26">
        <w:t>-</w:t>
      </w:r>
      <w:r w:rsidRPr="004A1A26">
        <w:t>older vehicle.</w:t>
      </w:r>
    </w:p>
    <w:p w14:paraId="5F965CF2" w14:textId="45F87406" w:rsidR="00CF7F48" w:rsidRPr="004A1A26" w:rsidRDefault="001D3C74" w:rsidP="001D3C74">
      <w:pPr>
        <w:pStyle w:val="Caption"/>
      </w:pPr>
      <w:r w:rsidRPr="004A1A26">
        <w:t xml:space="preserve">Table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00AA4BDC" w:rsidRPr="004A1A26">
        <w:t>.</w:t>
      </w:r>
      <w:r w:rsidR="00350B00" w:rsidRPr="004A1A26">
        <w:rPr>
          <w:noProof/>
        </w:rPr>
        <w:fldChar w:fldCharType="begin"/>
      </w:r>
      <w:r w:rsidR="00D169A0" w:rsidRPr="004A1A26">
        <w:rPr>
          <w:noProof/>
        </w:rPr>
        <w:instrText xml:space="preserve"> SEQ Table \* ARABIC \s 1 </w:instrText>
      </w:r>
      <w:r w:rsidR="00350B00" w:rsidRPr="004A1A26">
        <w:rPr>
          <w:noProof/>
        </w:rPr>
        <w:fldChar w:fldCharType="separate"/>
      </w:r>
      <w:r w:rsidR="00430786" w:rsidRPr="004A1A26">
        <w:rPr>
          <w:noProof/>
        </w:rPr>
        <w:t>3</w:t>
      </w:r>
      <w:r w:rsidR="00350B00" w:rsidRPr="004A1A26">
        <w:rPr>
          <w:noProof/>
        </w:rPr>
        <w:fldChar w:fldCharType="end"/>
      </w:r>
      <w:r w:rsidRPr="004A1A26">
        <w:t xml:space="preserve">: Summary of </w:t>
      </w:r>
      <w:r w:rsidR="00686BB3" w:rsidRPr="004A1A26">
        <w:t>a</w:t>
      </w:r>
      <w:r w:rsidRPr="004A1A26">
        <w:t xml:space="preserve">ssessment </w:t>
      </w:r>
      <w:r w:rsidR="00686BB3" w:rsidRPr="004A1A26">
        <w:t>c</w:t>
      </w:r>
      <w:r w:rsidRPr="004A1A26">
        <w:t>riteria</w:t>
      </w:r>
      <w:r w:rsidR="00686BB3" w:rsidRPr="004A1A26">
        <w:t>:</w:t>
      </w:r>
      <w:r w:rsidR="007A17D0">
        <w:t xml:space="preserve"> </w:t>
      </w:r>
      <w:r w:rsidRPr="004A1A26">
        <w:t xml:space="preserve">Excess </w:t>
      </w:r>
      <w:r w:rsidR="00686BB3" w:rsidRPr="004A1A26">
        <w:t>d</w:t>
      </w:r>
      <w:r w:rsidRPr="004A1A26">
        <w:t xml:space="preserve">iesel </w:t>
      </w:r>
      <w:r w:rsidR="00686BB3" w:rsidRPr="004A1A26">
        <w:t>e</w:t>
      </w:r>
      <w:r w:rsidRPr="004A1A26">
        <w:t>missions in Europe</w:t>
      </w:r>
    </w:p>
    <w:tbl>
      <w:tblPr>
        <w:tblStyle w:val="GridTable2-Accent11"/>
        <w:tblW w:w="8882" w:type="dxa"/>
        <w:tblInd w:w="-3" w:type="dxa"/>
        <w:tblLook w:val="04A0" w:firstRow="1" w:lastRow="0" w:firstColumn="1" w:lastColumn="0" w:noHBand="0" w:noVBand="1"/>
      </w:tblPr>
      <w:tblGrid>
        <w:gridCol w:w="1529"/>
        <w:gridCol w:w="5386"/>
        <w:gridCol w:w="1967"/>
      </w:tblGrid>
      <w:tr w:rsidR="00AA3430" w:rsidRPr="00113D17" w14:paraId="3AFFE1DD" w14:textId="77777777" w:rsidTr="0000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top w:val="single" w:sz="2" w:space="0" w:color="auto"/>
              <w:left w:val="single" w:sz="2" w:space="0" w:color="auto"/>
            </w:tcBorders>
          </w:tcPr>
          <w:p w14:paraId="26789A8A" w14:textId="77777777" w:rsidR="00C8205C" w:rsidRPr="00113D17" w:rsidRDefault="00C8205C" w:rsidP="00113D17">
            <w:pPr>
              <w:pStyle w:val="TableText"/>
              <w:spacing w:before="0" w:after="0" w:line="240" w:lineRule="auto"/>
              <w:rPr>
                <w:b w:val="0"/>
                <w:sz w:val="20"/>
              </w:rPr>
            </w:pPr>
            <w:r w:rsidRPr="00113D17">
              <w:rPr>
                <w:sz w:val="20"/>
              </w:rPr>
              <w:t>Criterion</w:t>
            </w:r>
          </w:p>
        </w:tc>
        <w:tc>
          <w:tcPr>
            <w:tcW w:w="5386" w:type="dxa"/>
            <w:tcBorders>
              <w:top w:val="single" w:sz="2" w:space="0" w:color="auto"/>
            </w:tcBorders>
          </w:tcPr>
          <w:p w14:paraId="7BCD65D0" w14:textId="77777777" w:rsidR="00C8205C" w:rsidRPr="00113D17" w:rsidRDefault="00C8205C" w:rsidP="00113D17">
            <w:pPr>
              <w:pStyle w:val="TableText"/>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113D17">
              <w:rPr>
                <w:sz w:val="20"/>
              </w:rPr>
              <w:t>Assessment</w:t>
            </w:r>
          </w:p>
        </w:tc>
        <w:tc>
          <w:tcPr>
            <w:tcW w:w="1967" w:type="dxa"/>
            <w:tcBorders>
              <w:top w:val="single" w:sz="2" w:space="0" w:color="auto"/>
              <w:right w:val="single" w:sz="2" w:space="0" w:color="auto"/>
            </w:tcBorders>
          </w:tcPr>
          <w:p w14:paraId="11C7D9EC" w14:textId="77777777" w:rsidR="00C8205C" w:rsidRPr="00113D17" w:rsidRDefault="00C8205C" w:rsidP="00113D17">
            <w:pPr>
              <w:pStyle w:val="TableText"/>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113D17">
              <w:rPr>
                <w:sz w:val="20"/>
              </w:rPr>
              <w:t>Reference</w:t>
            </w:r>
          </w:p>
        </w:tc>
      </w:tr>
      <w:tr w:rsidR="000125A8" w:rsidRPr="00113D17" w14:paraId="322E2F62"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0588BECB" w14:textId="77777777" w:rsidR="000125A8" w:rsidRPr="00113D17" w:rsidRDefault="000125A8" w:rsidP="00113D17">
            <w:pPr>
              <w:pStyle w:val="TableText"/>
              <w:spacing w:before="0" w:after="0" w:line="240" w:lineRule="auto"/>
              <w:rPr>
                <w:sz w:val="20"/>
              </w:rPr>
            </w:pPr>
            <w:r w:rsidRPr="00113D17">
              <w:rPr>
                <w:sz w:val="20"/>
              </w:rPr>
              <w:t xml:space="preserve">Success or </w:t>
            </w:r>
            <w:r w:rsidR="00686BB3" w:rsidRPr="00113D17">
              <w:rPr>
                <w:sz w:val="20"/>
              </w:rPr>
              <w:t>f</w:t>
            </w:r>
            <w:r w:rsidRPr="00113D17">
              <w:rPr>
                <w:sz w:val="20"/>
              </w:rPr>
              <w:t>ailure</w:t>
            </w:r>
          </w:p>
        </w:tc>
        <w:tc>
          <w:tcPr>
            <w:tcW w:w="5386" w:type="dxa"/>
          </w:tcPr>
          <w:p w14:paraId="6A0C2D9D" w14:textId="39C40456" w:rsidR="000125A8" w:rsidRPr="00113D17" w:rsidRDefault="000125A8"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The </w:t>
            </w:r>
            <w:r w:rsidR="00686BB3" w:rsidRPr="00113D17">
              <w:rPr>
                <w:sz w:val="20"/>
              </w:rPr>
              <w:t>E</w:t>
            </w:r>
            <w:r w:rsidR="00F340B7" w:rsidRPr="00113D17">
              <w:rPr>
                <w:sz w:val="20"/>
              </w:rPr>
              <w:t>uro</w:t>
            </w:r>
            <w:r w:rsidRPr="00113D17">
              <w:rPr>
                <w:sz w:val="20"/>
              </w:rPr>
              <w:t xml:space="preserve"> standards have been successful in decreasing </w:t>
            </w:r>
            <w:r w:rsidR="00F340B7" w:rsidRPr="00113D17">
              <w:rPr>
                <w:sz w:val="20"/>
              </w:rPr>
              <w:t>emission</w:t>
            </w:r>
            <w:r w:rsidRPr="00113D17">
              <w:rPr>
                <w:sz w:val="20"/>
              </w:rPr>
              <w:t>s of air pollutants and GHGs per unit of travel and decreasing measurable air pollution concentrations, especially close to roads.</w:t>
            </w:r>
            <w:r w:rsidR="00F908F0">
              <w:rPr>
                <w:sz w:val="20"/>
              </w:rPr>
              <w:t xml:space="preserve"> </w:t>
            </w:r>
            <w:r w:rsidRPr="00113D17">
              <w:rPr>
                <w:sz w:val="20"/>
              </w:rPr>
              <w:t xml:space="preserve">However, real-world reductions fall short of the potential reductions measured in </w:t>
            </w:r>
            <w:r w:rsidR="00F340B7" w:rsidRPr="00113D17">
              <w:rPr>
                <w:sz w:val="20"/>
              </w:rPr>
              <w:t>laborator</w:t>
            </w:r>
            <w:r w:rsidRPr="00113D17">
              <w:rPr>
                <w:sz w:val="20"/>
              </w:rPr>
              <w:t xml:space="preserve">y testing. </w:t>
            </w:r>
          </w:p>
        </w:tc>
        <w:tc>
          <w:tcPr>
            <w:tcW w:w="1967" w:type="dxa"/>
            <w:vMerge w:val="restart"/>
            <w:tcBorders>
              <w:right w:val="single" w:sz="2" w:space="0" w:color="auto"/>
            </w:tcBorders>
          </w:tcPr>
          <w:p w14:paraId="703EBEE4" w14:textId="77777777" w:rsidR="000125A8" w:rsidRPr="00113D17" w:rsidRDefault="000125A8"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EEA </w:t>
            </w:r>
            <w:r w:rsidR="00F340B7" w:rsidRPr="00113D17">
              <w:rPr>
                <w:sz w:val="20"/>
              </w:rPr>
              <w:t>2015</w:t>
            </w:r>
            <w:r w:rsidRPr="00113D17">
              <w:rPr>
                <w:sz w:val="20"/>
              </w:rPr>
              <w:t>; EEA 2016a; EEA 2016b</w:t>
            </w:r>
            <w:r w:rsidR="00A24BE8" w:rsidRPr="00113D17">
              <w:rPr>
                <w:sz w:val="20"/>
              </w:rPr>
              <w:t xml:space="preserve">; </w:t>
            </w:r>
            <w:r w:rsidRPr="00113D17">
              <w:rPr>
                <w:sz w:val="20"/>
              </w:rPr>
              <w:t xml:space="preserve">EEA </w:t>
            </w:r>
            <w:r w:rsidR="00F340B7" w:rsidRPr="00113D17">
              <w:rPr>
                <w:sz w:val="20"/>
              </w:rPr>
              <w:t>2017</w:t>
            </w:r>
          </w:p>
        </w:tc>
      </w:tr>
      <w:tr w:rsidR="000125A8" w:rsidRPr="00113D17" w14:paraId="043E5C51"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30DC9480" w14:textId="77777777" w:rsidR="000125A8" w:rsidRPr="00113D17" w:rsidRDefault="000125A8" w:rsidP="00113D17">
            <w:pPr>
              <w:pStyle w:val="TableText"/>
              <w:spacing w:before="0" w:after="0" w:line="240" w:lineRule="auto"/>
              <w:rPr>
                <w:sz w:val="20"/>
              </w:rPr>
            </w:pPr>
            <w:r w:rsidRPr="00113D17">
              <w:rPr>
                <w:sz w:val="20"/>
              </w:rPr>
              <w:t xml:space="preserve">Independence of </w:t>
            </w:r>
            <w:r w:rsidR="00686BB3" w:rsidRPr="00113D17">
              <w:rPr>
                <w:sz w:val="20"/>
              </w:rPr>
              <w:t>e</w:t>
            </w:r>
            <w:r w:rsidRPr="00113D17">
              <w:rPr>
                <w:sz w:val="20"/>
              </w:rPr>
              <w:t>valuation</w:t>
            </w:r>
          </w:p>
        </w:tc>
        <w:tc>
          <w:tcPr>
            <w:tcW w:w="5386" w:type="dxa"/>
          </w:tcPr>
          <w:p w14:paraId="1939BA6F" w14:textId="77777777" w:rsidR="000125A8" w:rsidRPr="00113D17" w:rsidRDefault="000125A8"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In</w:t>
            </w:r>
            <w:r w:rsidR="00F340B7" w:rsidRPr="00113D17">
              <w:rPr>
                <w:sz w:val="20"/>
              </w:rPr>
              <w:t>dependent</w:t>
            </w:r>
            <w:r w:rsidRPr="00113D17">
              <w:rPr>
                <w:sz w:val="20"/>
              </w:rPr>
              <w:t xml:space="preserve"> evaluations of overall </w:t>
            </w:r>
            <w:r w:rsidR="00F340B7" w:rsidRPr="00113D17">
              <w:rPr>
                <w:sz w:val="20"/>
              </w:rPr>
              <w:t>progress</w:t>
            </w:r>
            <w:r w:rsidRPr="00113D17">
              <w:rPr>
                <w:sz w:val="20"/>
              </w:rPr>
              <w:t xml:space="preserve"> have been conducted</w:t>
            </w:r>
            <w:r w:rsidR="00686BB3" w:rsidRPr="00113D17">
              <w:rPr>
                <w:sz w:val="20"/>
              </w:rPr>
              <w:t>.</w:t>
            </w:r>
          </w:p>
        </w:tc>
        <w:tc>
          <w:tcPr>
            <w:tcW w:w="1967" w:type="dxa"/>
            <w:vMerge/>
            <w:tcBorders>
              <w:right w:val="single" w:sz="2" w:space="0" w:color="auto"/>
            </w:tcBorders>
          </w:tcPr>
          <w:p w14:paraId="56B1F62F" w14:textId="77777777" w:rsidR="000125A8" w:rsidRPr="00113D17" w:rsidRDefault="000125A8"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C8205C" w:rsidRPr="00113D17" w14:paraId="2D5247D4"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676850D6" w14:textId="77777777" w:rsidR="00C8205C" w:rsidRPr="00113D17" w:rsidRDefault="00C8205C" w:rsidP="00113D17">
            <w:pPr>
              <w:pStyle w:val="TableText"/>
              <w:spacing w:before="0" w:after="0" w:line="240" w:lineRule="auto"/>
              <w:rPr>
                <w:sz w:val="20"/>
              </w:rPr>
            </w:pPr>
            <w:r w:rsidRPr="00113D17">
              <w:rPr>
                <w:sz w:val="20"/>
              </w:rPr>
              <w:t xml:space="preserve">Key </w:t>
            </w:r>
            <w:r w:rsidR="00686BB3" w:rsidRPr="00113D17">
              <w:rPr>
                <w:sz w:val="20"/>
              </w:rPr>
              <w:t>a</w:t>
            </w:r>
            <w:r w:rsidRPr="00113D17">
              <w:rPr>
                <w:sz w:val="20"/>
              </w:rPr>
              <w:t>ctors</w:t>
            </w:r>
          </w:p>
        </w:tc>
        <w:tc>
          <w:tcPr>
            <w:tcW w:w="5386" w:type="dxa"/>
          </w:tcPr>
          <w:p w14:paraId="27F21189" w14:textId="77777777" w:rsidR="00C8205C" w:rsidRPr="00113D17" w:rsidRDefault="00C8205C"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Associations of car </w:t>
            </w:r>
            <w:r w:rsidR="00D12479" w:rsidRPr="00113D17">
              <w:rPr>
                <w:sz w:val="20"/>
              </w:rPr>
              <w:t xml:space="preserve">owners </w:t>
            </w:r>
            <w:r w:rsidRPr="00113D17">
              <w:rPr>
                <w:sz w:val="20"/>
              </w:rPr>
              <w:t xml:space="preserve">and vehicles manufacturers, NGOs etc. were highly involved. It was a long process with </w:t>
            </w:r>
            <w:r w:rsidR="00686BB3" w:rsidRPr="00113D17">
              <w:rPr>
                <w:sz w:val="20"/>
              </w:rPr>
              <w:t xml:space="preserve">a </w:t>
            </w:r>
            <w:r w:rsidRPr="00113D17">
              <w:rPr>
                <w:sz w:val="20"/>
              </w:rPr>
              <w:t xml:space="preserve">high </w:t>
            </w:r>
            <w:r w:rsidR="00686BB3" w:rsidRPr="00113D17">
              <w:rPr>
                <w:sz w:val="20"/>
              </w:rPr>
              <w:t xml:space="preserve">level of </w:t>
            </w:r>
            <w:r w:rsidRPr="00113D17">
              <w:rPr>
                <w:sz w:val="20"/>
              </w:rPr>
              <w:t>stakeholder involvement.</w:t>
            </w:r>
          </w:p>
        </w:tc>
        <w:tc>
          <w:tcPr>
            <w:tcW w:w="1967" w:type="dxa"/>
            <w:tcBorders>
              <w:right w:val="single" w:sz="2" w:space="0" w:color="auto"/>
            </w:tcBorders>
          </w:tcPr>
          <w:p w14:paraId="0C978EE9" w14:textId="77777777" w:rsidR="00C8205C" w:rsidRPr="00113D17" w:rsidRDefault="00C8205C"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7F1C50" w:rsidRPr="00113D17" w14:paraId="7E06970C"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489A58EC" w14:textId="77777777" w:rsidR="007F1C50" w:rsidRPr="00113D17" w:rsidRDefault="007F1C50" w:rsidP="00113D17">
            <w:pPr>
              <w:pStyle w:val="TableText"/>
              <w:spacing w:before="0" w:after="0" w:line="240" w:lineRule="auto"/>
              <w:rPr>
                <w:sz w:val="20"/>
              </w:rPr>
            </w:pPr>
            <w:r w:rsidRPr="00113D17">
              <w:rPr>
                <w:sz w:val="20"/>
              </w:rPr>
              <w:t>Baseline</w:t>
            </w:r>
          </w:p>
        </w:tc>
        <w:tc>
          <w:tcPr>
            <w:tcW w:w="5386" w:type="dxa"/>
          </w:tcPr>
          <w:p w14:paraId="64522575" w14:textId="77777777" w:rsidR="007F1C50" w:rsidRPr="00113D17" w:rsidRDefault="007F1C50"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Quantitative baselines were established</w:t>
            </w:r>
            <w:r w:rsidR="001955D0" w:rsidRPr="00113D17">
              <w:rPr>
                <w:sz w:val="20"/>
              </w:rPr>
              <w:t xml:space="preserve"> and updated with each amendment.</w:t>
            </w:r>
          </w:p>
        </w:tc>
        <w:tc>
          <w:tcPr>
            <w:tcW w:w="1967" w:type="dxa"/>
            <w:tcBorders>
              <w:right w:val="single" w:sz="2" w:space="0" w:color="auto"/>
            </w:tcBorders>
          </w:tcPr>
          <w:p w14:paraId="3E73DD89" w14:textId="77777777" w:rsidR="007F1C50" w:rsidRPr="00113D17" w:rsidRDefault="007F1C50"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7F1C50" w:rsidRPr="00113D17" w14:paraId="203532A4"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5DDDB619" w14:textId="77777777" w:rsidR="007F1C50" w:rsidRPr="00113D17" w:rsidRDefault="007F1C50" w:rsidP="00113D17">
            <w:pPr>
              <w:pStyle w:val="TableText"/>
              <w:spacing w:before="0" w:after="0" w:line="240" w:lineRule="auto"/>
              <w:rPr>
                <w:sz w:val="20"/>
              </w:rPr>
            </w:pPr>
            <w:r w:rsidRPr="00113D17">
              <w:rPr>
                <w:sz w:val="20"/>
              </w:rPr>
              <w:t>Timeframe</w:t>
            </w:r>
          </w:p>
        </w:tc>
        <w:tc>
          <w:tcPr>
            <w:tcW w:w="5386" w:type="dxa"/>
          </w:tcPr>
          <w:p w14:paraId="1D9FB7F9" w14:textId="657661EE" w:rsidR="007F1C50" w:rsidRPr="00113D17" w:rsidRDefault="007F1C50"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Policies were implemented </w:t>
            </w:r>
            <w:r w:rsidR="001955D0" w:rsidRPr="00113D17">
              <w:rPr>
                <w:sz w:val="20"/>
              </w:rPr>
              <w:t>on time</w:t>
            </w:r>
            <w:r w:rsidR="00CF7F48" w:rsidRPr="00113D17">
              <w:rPr>
                <w:sz w:val="20"/>
              </w:rPr>
              <w:t>,</w:t>
            </w:r>
            <w:r w:rsidR="001955D0" w:rsidRPr="00113D17">
              <w:rPr>
                <w:sz w:val="20"/>
              </w:rPr>
              <w:t xml:space="preserve"> but some </w:t>
            </w:r>
            <w:r w:rsidRPr="00113D17">
              <w:rPr>
                <w:sz w:val="20"/>
              </w:rPr>
              <w:t xml:space="preserve">intended targets </w:t>
            </w:r>
            <w:r w:rsidR="001955D0" w:rsidRPr="00113D17">
              <w:rPr>
                <w:sz w:val="20"/>
              </w:rPr>
              <w:t xml:space="preserve">were missed </w:t>
            </w:r>
            <w:r w:rsidRPr="00113D17">
              <w:rPr>
                <w:sz w:val="20"/>
              </w:rPr>
              <w:t xml:space="preserve">because of </w:t>
            </w:r>
            <w:r w:rsidR="00F908F0">
              <w:rPr>
                <w:sz w:val="20"/>
              </w:rPr>
              <w:t xml:space="preserve">the </w:t>
            </w:r>
            <w:r w:rsidRPr="00113D17">
              <w:rPr>
                <w:sz w:val="20"/>
              </w:rPr>
              <w:t xml:space="preserve">inadequacy of the test cycle and wide-ranging exceptions enabling manufacturers to switch off </w:t>
            </w:r>
            <w:r w:rsidR="00F340B7" w:rsidRPr="00113D17">
              <w:rPr>
                <w:sz w:val="20"/>
              </w:rPr>
              <w:t>emission</w:t>
            </w:r>
            <w:r w:rsidR="00686BB3" w:rsidRPr="00113D17">
              <w:rPr>
                <w:sz w:val="20"/>
              </w:rPr>
              <w:t>s</w:t>
            </w:r>
            <w:r w:rsidRPr="00113D17">
              <w:rPr>
                <w:sz w:val="20"/>
              </w:rPr>
              <w:t xml:space="preserve"> control technol</w:t>
            </w:r>
            <w:r w:rsidR="00F340B7" w:rsidRPr="00113D17">
              <w:rPr>
                <w:sz w:val="20"/>
              </w:rPr>
              <w:t>ogies</w:t>
            </w:r>
            <w:r w:rsidRPr="00113D17">
              <w:rPr>
                <w:sz w:val="20"/>
              </w:rPr>
              <w:t xml:space="preserve"> under certain ambient conditions.</w:t>
            </w:r>
          </w:p>
        </w:tc>
        <w:tc>
          <w:tcPr>
            <w:tcW w:w="1967" w:type="dxa"/>
            <w:tcBorders>
              <w:right w:val="single" w:sz="2" w:space="0" w:color="auto"/>
            </w:tcBorders>
          </w:tcPr>
          <w:p w14:paraId="13618B99" w14:textId="77777777" w:rsidR="007F1C50" w:rsidRPr="00113D17" w:rsidRDefault="007F1C50"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177F5E" w:rsidRPr="00C76876" w14:paraId="28CA2775"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33E4910D" w14:textId="77777777" w:rsidR="00177F5E" w:rsidRPr="00113D17" w:rsidRDefault="00177F5E" w:rsidP="00113D17">
            <w:pPr>
              <w:pStyle w:val="TableText"/>
              <w:spacing w:before="0" w:after="0" w:line="240" w:lineRule="auto"/>
              <w:rPr>
                <w:sz w:val="20"/>
              </w:rPr>
            </w:pPr>
            <w:r w:rsidRPr="00113D17">
              <w:rPr>
                <w:sz w:val="20"/>
              </w:rPr>
              <w:t xml:space="preserve">Constraining factors </w:t>
            </w:r>
          </w:p>
        </w:tc>
        <w:tc>
          <w:tcPr>
            <w:tcW w:w="5386" w:type="dxa"/>
          </w:tcPr>
          <w:p w14:paraId="629D6089" w14:textId="77777777" w:rsidR="00177F5E" w:rsidRPr="00113D17" w:rsidRDefault="0052474B"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Lobbying from industry has </w:t>
            </w:r>
            <w:r w:rsidR="001955D0" w:rsidRPr="00113D17">
              <w:rPr>
                <w:sz w:val="20"/>
              </w:rPr>
              <w:t xml:space="preserve">led to delays and weakening of the policy. </w:t>
            </w:r>
            <w:r w:rsidR="006E7B5B" w:rsidRPr="00113D17">
              <w:rPr>
                <w:sz w:val="20"/>
              </w:rPr>
              <w:t>In some cases, manufacturers have circumvented the standards designing cars to have lower emissions during testing than on the road.</w:t>
            </w:r>
          </w:p>
        </w:tc>
        <w:tc>
          <w:tcPr>
            <w:tcW w:w="1967" w:type="dxa"/>
            <w:tcBorders>
              <w:right w:val="single" w:sz="2" w:space="0" w:color="auto"/>
            </w:tcBorders>
          </w:tcPr>
          <w:p w14:paraId="4A8D462E" w14:textId="5C8D13DA" w:rsidR="00177F5E" w:rsidRPr="00113D17" w:rsidRDefault="00420A52"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lang w:val="fr-FR"/>
              </w:rPr>
            </w:pPr>
            <w:r w:rsidRPr="00113D17">
              <w:rPr>
                <w:sz w:val="20"/>
                <w:lang w:val="fr-FR"/>
              </w:rPr>
              <w:t xml:space="preserve">Grice </w:t>
            </w:r>
            <w:r w:rsidRPr="00113D17">
              <w:rPr>
                <w:i/>
                <w:sz w:val="20"/>
                <w:lang w:val="fr-FR"/>
              </w:rPr>
              <w:t>et al.</w:t>
            </w:r>
            <w:proofErr w:type="gramStart"/>
            <w:r w:rsidRPr="00113D17">
              <w:rPr>
                <w:sz w:val="20"/>
                <w:lang w:val="fr-FR"/>
              </w:rPr>
              <w:t>2009</w:t>
            </w:r>
            <w:r>
              <w:rPr>
                <w:sz w:val="20"/>
                <w:lang w:val="fr-FR"/>
              </w:rPr>
              <w:t>;</w:t>
            </w:r>
            <w:proofErr w:type="gramEnd"/>
            <w:r>
              <w:rPr>
                <w:sz w:val="20"/>
                <w:lang w:val="fr-FR"/>
              </w:rPr>
              <w:t xml:space="preserve"> </w:t>
            </w:r>
            <w:proofErr w:type="spellStart"/>
            <w:r w:rsidRPr="00113D17">
              <w:rPr>
                <w:sz w:val="20"/>
                <w:lang w:val="fr-FR"/>
              </w:rPr>
              <w:t>Guerreiro</w:t>
            </w:r>
            <w:proofErr w:type="spellEnd"/>
            <w:r w:rsidRPr="00113D17">
              <w:rPr>
                <w:sz w:val="20"/>
                <w:lang w:val="fr-FR"/>
              </w:rPr>
              <w:t xml:space="preserve"> </w:t>
            </w:r>
            <w:r w:rsidRPr="00113D17">
              <w:rPr>
                <w:i/>
                <w:sz w:val="20"/>
                <w:lang w:val="fr-FR"/>
              </w:rPr>
              <w:t>et al.</w:t>
            </w:r>
            <w:r w:rsidRPr="00113D17">
              <w:rPr>
                <w:sz w:val="20"/>
                <w:lang w:val="fr-FR"/>
              </w:rPr>
              <w:t>2010, p. 3</w:t>
            </w:r>
            <w:r>
              <w:rPr>
                <w:sz w:val="20"/>
                <w:lang w:val="fr-FR"/>
              </w:rPr>
              <w:t xml:space="preserve">; </w:t>
            </w:r>
            <w:proofErr w:type="spellStart"/>
            <w:r w:rsidR="006E7B5B" w:rsidRPr="00113D17">
              <w:rPr>
                <w:sz w:val="20"/>
                <w:lang w:val="fr-FR"/>
              </w:rPr>
              <w:t>Hotten</w:t>
            </w:r>
            <w:proofErr w:type="spellEnd"/>
            <w:r w:rsidR="006E7B5B" w:rsidRPr="00113D17">
              <w:rPr>
                <w:sz w:val="20"/>
                <w:lang w:val="fr-FR"/>
              </w:rPr>
              <w:t xml:space="preserve"> 2015</w:t>
            </w:r>
            <w:r w:rsidR="003D72DA" w:rsidRPr="00113D17">
              <w:rPr>
                <w:sz w:val="20"/>
                <w:lang w:val="fr-FR"/>
              </w:rPr>
              <w:t>;</w:t>
            </w:r>
          </w:p>
        </w:tc>
      </w:tr>
      <w:tr w:rsidR="00177F5E" w:rsidRPr="00113D17" w14:paraId="12B91398"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6E5877B0" w14:textId="77777777" w:rsidR="00177F5E" w:rsidRPr="00113D17" w:rsidRDefault="00177F5E" w:rsidP="00113D17">
            <w:pPr>
              <w:pStyle w:val="TableText"/>
              <w:spacing w:before="0" w:after="0" w:line="240" w:lineRule="auto"/>
              <w:rPr>
                <w:sz w:val="20"/>
              </w:rPr>
            </w:pPr>
            <w:r w:rsidRPr="00113D17">
              <w:rPr>
                <w:sz w:val="20"/>
              </w:rPr>
              <w:t xml:space="preserve">Enabling factors </w:t>
            </w:r>
          </w:p>
        </w:tc>
        <w:tc>
          <w:tcPr>
            <w:tcW w:w="5386" w:type="dxa"/>
          </w:tcPr>
          <w:p w14:paraId="52F48004" w14:textId="77777777" w:rsidR="00177F5E" w:rsidRPr="00113D17" w:rsidRDefault="00177F5E"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The European regulatory and governance structure </w:t>
            </w:r>
            <w:r w:rsidR="001955D0" w:rsidRPr="00113D17">
              <w:rPr>
                <w:sz w:val="20"/>
              </w:rPr>
              <w:t>was key to enabling policy implementation. Some countries lacked the resources to in</w:t>
            </w:r>
            <w:r w:rsidR="00F340B7" w:rsidRPr="00113D17">
              <w:rPr>
                <w:sz w:val="20"/>
              </w:rPr>
              <w:t>dependent</w:t>
            </w:r>
            <w:r w:rsidR="001955D0" w:rsidRPr="00113D17">
              <w:rPr>
                <w:sz w:val="20"/>
              </w:rPr>
              <w:t xml:space="preserve">ly verify </w:t>
            </w:r>
            <w:r w:rsidR="00F340B7" w:rsidRPr="00113D17">
              <w:rPr>
                <w:sz w:val="20"/>
              </w:rPr>
              <w:t>emission</w:t>
            </w:r>
            <w:r w:rsidR="001955D0" w:rsidRPr="00113D17">
              <w:rPr>
                <w:sz w:val="20"/>
              </w:rPr>
              <w:t xml:space="preserve">s reported by manufacturers. </w:t>
            </w:r>
            <w:r w:rsidR="00F41325" w:rsidRPr="00113D17">
              <w:rPr>
                <w:sz w:val="20"/>
              </w:rPr>
              <w:t>The level of p</w:t>
            </w:r>
            <w:r w:rsidR="001955D0" w:rsidRPr="00113D17">
              <w:rPr>
                <w:sz w:val="20"/>
              </w:rPr>
              <w:t xml:space="preserve">articipation in policy development was high, leading to high </w:t>
            </w:r>
            <w:r w:rsidR="00F41325" w:rsidRPr="00113D17">
              <w:rPr>
                <w:sz w:val="20"/>
              </w:rPr>
              <w:t xml:space="preserve">levels of </w:t>
            </w:r>
            <w:r w:rsidR="001955D0" w:rsidRPr="00113D17">
              <w:rPr>
                <w:sz w:val="20"/>
              </w:rPr>
              <w:t>public approval</w:t>
            </w:r>
            <w:r w:rsidRPr="00113D17">
              <w:rPr>
                <w:sz w:val="20"/>
              </w:rPr>
              <w:t>.</w:t>
            </w:r>
          </w:p>
        </w:tc>
        <w:tc>
          <w:tcPr>
            <w:tcW w:w="1967" w:type="dxa"/>
            <w:tcBorders>
              <w:right w:val="single" w:sz="2" w:space="0" w:color="auto"/>
            </w:tcBorders>
          </w:tcPr>
          <w:p w14:paraId="08DFF4A5" w14:textId="77777777" w:rsidR="00177F5E" w:rsidRPr="00113D17" w:rsidRDefault="00177F5E"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177F5E" w:rsidRPr="00113D17" w14:paraId="0A85F9C2"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613163CA" w14:textId="77777777" w:rsidR="00177F5E" w:rsidRPr="00113D17" w:rsidRDefault="00177F5E" w:rsidP="00113D17">
            <w:pPr>
              <w:pStyle w:val="TableText"/>
              <w:spacing w:before="0" w:after="0" w:line="240" w:lineRule="auto"/>
              <w:rPr>
                <w:sz w:val="20"/>
              </w:rPr>
            </w:pPr>
            <w:r w:rsidRPr="00113D17">
              <w:rPr>
                <w:sz w:val="20"/>
              </w:rPr>
              <w:t>Cost-effectiveness</w:t>
            </w:r>
          </w:p>
        </w:tc>
        <w:tc>
          <w:tcPr>
            <w:tcW w:w="5386" w:type="dxa"/>
          </w:tcPr>
          <w:p w14:paraId="3ECE37B7" w14:textId="77777777" w:rsidR="00177F5E" w:rsidRPr="007A17D0" w:rsidRDefault="00177F5E"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7A17D0">
              <w:rPr>
                <w:sz w:val="20"/>
              </w:rPr>
              <w:t>Costs and benefits</w:t>
            </w:r>
            <w:r w:rsidR="00EE0BC2" w:rsidRPr="007A17D0">
              <w:rPr>
                <w:sz w:val="20"/>
              </w:rPr>
              <w:t>, including impacts on health, agriculture and ecosystems,</w:t>
            </w:r>
            <w:r w:rsidRPr="007A17D0">
              <w:rPr>
                <w:sz w:val="20"/>
              </w:rPr>
              <w:t xml:space="preserve"> are considered carefully in the process of European policy development, aiming at high cost-effectiveness. </w:t>
            </w:r>
          </w:p>
        </w:tc>
        <w:tc>
          <w:tcPr>
            <w:tcW w:w="1967" w:type="dxa"/>
            <w:tcBorders>
              <w:right w:val="single" w:sz="2" w:space="0" w:color="auto"/>
            </w:tcBorders>
          </w:tcPr>
          <w:p w14:paraId="083C4093" w14:textId="69ED1DC1" w:rsidR="00177F5E" w:rsidRPr="007A17D0" w:rsidRDefault="00066396"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7A17D0">
              <w:rPr>
                <w:sz w:val="20"/>
              </w:rPr>
              <w:t>European Commission</w:t>
            </w:r>
            <w:r w:rsidR="000731F5" w:rsidRPr="007A17D0">
              <w:rPr>
                <w:sz w:val="20"/>
              </w:rPr>
              <w:t xml:space="preserve"> </w:t>
            </w:r>
            <w:r w:rsidR="007A17D0">
              <w:rPr>
                <w:sz w:val="20"/>
              </w:rPr>
              <w:t>2018</w:t>
            </w:r>
          </w:p>
        </w:tc>
      </w:tr>
      <w:tr w:rsidR="00177F5E" w:rsidRPr="00113D17" w14:paraId="20DA08DB"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50CB3D59" w14:textId="77777777" w:rsidR="00177F5E" w:rsidRPr="00113D17" w:rsidRDefault="00177F5E" w:rsidP="00113D17">
            <w:pPr>
              <w:pStyle w:val="TableText"/>
              <w:spacing w:before="0" w:after="0" w:line="240" w:lineRule="auto"/>
              <w:rPr>
                <w:sz w:val="20"/>
              </w:rPr>
            </w:pPr>
            <w:r w:rsidRPr="00113D17">
              <w:rPr>
                <w:sz w:val="20"/>
              </w:rPr>
              <w:t>Equity</w:t>
            </w:r>
          </w:p>
        </w:tc>
        <w:tc>
          <w:tcPr>
            <w:tcW w:w="5386" w:type="dxa"/>
          </w:tcPr>
          <w:p w14:paraId="1FFD702D" w14:textId="77777777" w:rsidR="00177F5E" w:rsidRPr="00113D17" w:rsidRDefault="002E75C9"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The impacts can be considered positive for everyone, </w:t>
            </w:r>
            <w:r w:rsidR="00EE0BC2" w:rsidRPr="00113D17">
              <w:rPr>
                <w:sz w:val="20"/>
              </w:rPr>
              <w:t xml:space="preserve">but </w:t>
            </w:r>
            <w:r w:rsidR="00F41325" w:rsidRPr="00113D17">
              <w:rPr>
                <w:sz w:val="20"/>
              </w:rPr>
              <w:t xml:space="preserve">they </w:t>
            </w:r>
            <w:r w:rsidRPr="00113D17">
              <w:rPr>
                <w:sz w:val="20"/>
              </w:rPr>
              <w:t xml:space="preserve">particularly </w:t>
            </w:r>
            <w:r w:rsidR="00EE0BC2" w:rsidRPr="00113D17">
              <w:rPr>
                <w:sz w:val="20"/>
              </w:rPr>
              <w:t xml:space="preserve">benefit </w:t>
            </w:r>
            <w:r w:rsidRPr="00113D17">
              <w:rPr>
                <w:sz w:val="20"/>
              </w:rPr>
              <w:t>people living close to roads</w:t>
            </w:r>
            <w:r w:rsidR="00EE0BC2" w:rsidRPr="00113D17">
              <w:rPr>
                <w:sz w:val="20"/>
              </w:rPr>
              <w:t>, wh</w:t>
            </w:r>
            <w:r w:rsidR="004E090D" w:rsidRPr="00113D17">
              <w:rPr>
                <w:sz w:val="20"/>
              </w:rPr>
              <w:t>o</w:t>
            </w:r>
            <w:r w:rsidR="00EE0BC2" w:rsidRPr="00113D17">
              <w:rPr>
                <w:sz w:val="20"/>
              </w:rPr>
              <w:t xml:space="preserve"> may be economically </w:t>
            </w:r>
            <w:r w:rsidRPr="00113D17">
              <w:rPr>
                <w:sz w:val="20"/>
              </w:rPr>
              <w:t>disadvantaged.</w:t>
            </w:r>
          </w:p>
        </w:tc>
        <w:tc>
          <w:tcPr>
            <w:tcW w:w="1967" w:type="dxa"/>
            <w:tcBorders>
              <w:right w:val="single" w:sz="2" w:space="0" w:color="auto"/>
            </w:tcBorders>
          </w:tcPr>
          <w:p w14:paraId="58C536F4" w14:textId="77777777" w:rsidR="00177F5E" w:rsidRPr="00113D17" w:rsidRDefault="00177F5E"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177F5E" w:rsidRPr="00113D17" w14:paraId="21C2ED0A"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679287B5" w14:textId="77777777" w:rsidR="00177F5E" w:rsidRPr="00113D17" w:rsidRDefault="00177F5E" w:rsidP="00113D17">
            <w:pPr>
              <w:pStyle w:val="TableText"/>
              <w:spacing w:before="0" w:after="0" w:line="240" w:lineRule="auto"/>
              <w:rPr>
                <w:sz w:val="20"/>
              </w:rPr>
            </w:pPr>
            <w:r w:rsidRPr="00113D17">
              <w:rPr>
                <w:sz w:val="20"/>
              </w:rPr>
              <w:t>Co-benefits</w:t>
            </w:r>
          </w:p>
        </w:tc>
        <w:tc>
          <w:tcPr>
            <w:tcW w:w="5386" w:type="dxa"/>
          </w:tcPr>
          <w:p w14:paraId="7B6D15E6" w14:textId="088B0FAA" w:rsidR="00177F5E" w:rsidRPr="00113D17" w:rsidRDefault="00177F5E"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The </w:t>
            </w:r>
            <w:r w:rsidR="00F41325" w:rsidRPr="00113D17">
              <w:rPr>
                <w:sz w:val="20"/>
              </w:rPr>
              <w:t>E</w:t>
            </w:r>
            <w:r w:rsidR="00F340B7" w:rsidRPr="00113D17">
              <w:rPr>
                <w:sz w:val="20"/>
              </w:rPr>
              <w:t>uro</w:t>
            </w:r>
            <w:r w:rsidRPr="00113D17">
              <w:rPr>
                <w:sz w:val="20"/>
              </w:rPr>
              <w:t xml:space="preserve"> standards set a</w:t>
            </w:r>
            <w:r w:rsidR="002D487A" w:rsidRPr="00113D17">
              <w:rPr>
                <w:sz w:val="20"/>
              </w:rPr>
              <w:t>n</w:t>
            </w:r>
            <w:r w:rsidR="00C41B3F">
              <w:rPr>
                <w:sz w:val="20"/>
              </w:rPr>
              <w:t xml:space="preserve"> </w:t>
            </w:r>
            <w:r w:rsidR="00EE0BC2" w:rsidRPr="00113D17">
              <w:rPr>
                <w:sz w:val="20"/>
              </w:rPr>
              <w:t xml:space="preserve">example for the world. Industry is driven to innovate. </w:t>
            </w:r>
            <w:r w:rsidR="008E4963" w:rsidRPr="00113D17">
              <w:rPr>
                <w:sz w:val="20"/>
              </w:rPr>
              <w:t xml:space="preserve">Fuel efficiency increased, improving energy security and decreasing GHG </w:t>
            </w:r>
            <w:r w:rsidR="00F340B7" w:rsidRPr="00113D17">
              <w:rPr>
                <w:sz w:val="20"/>
              </w:rPr>
              <w:t>emission</w:t>
            </w:r>
            <w:r w:rsidR="008E4963" w:rsidRPr="00113D17">
              <w:rPr>
                <w:sz w:val="20"/>
              </w:rPr>
              <w:t>s. S</w:t>
            </w:r>
            <w:r w:rsidRPr="00113D17">
              <w:rPr>
                <w:sz w:val="20"/>
              </w:rPr>
              <w:t xml:space="preserve">ome national policies providing incentives </w:t>
            </w:r>
            <w:r w:rsidR="00F41325" w:rsidRPr="00113D17">
              <w:rPr>
                <w:sz w:val="20"/>
              </w:rPr>
              <w:t>to</w:t>
            </w:r>
            <w:r w:rsidRPr="00113D17">
              <w:rPr>
                <w:sz w:val="20"/>
              </w:rPr>
              <w:t xml:space="preserve"> purchase diesel vehicles </w:t>
            </w:r>
            <w:r w:rsidR="008E4963" w:rsidRPr="00113D17">
              <w:rPr>
                <w:sz w:val="20"/>
              </w:rPr>
              <w:t xml:space="preserve">led to increases in </w:t>
            </w:r>
            <w:r w:rsidRPr="00113D17">
              <w:rPr>
                <w:sz w:val="20"/>
              </w:rPr>
              <w:t>NO</w:t>
            </w:r>
            <w:r w:rsidRPr="00113D17">
              <w:rPr>
                <w:sz w:val="20"/>
                <w:vertAlign w:val="subscript"/>
              </w:rPr>
              <w:t>2</w:t>
            </w:r>
            <w:r w:rsidR="00C41B3F" w:rsidRPr="00C41B3F">
              <w:rPr>
                <w:sz w:val="20"/>
              </w:rPr>
              <w:t xml:space="preserve"> </w:t>
            </w:r>
            <w:r w:rsidR="00F340B7" w:rsidRPr="00113D17">
              <w:rPr>
                <w:sz w:val="20"/>
              </w:rPr>
              <w:t>emission</w:t>
            </w:r>
            <w:r w:rsidRPr="00113D17">
              <w:rPr>
                <w:sz w:val="20"/>
              </w:rPr>
              <w:t xml:space="preserve">s. </w:t>
            </w:r>
            <w:r w:rsidR="008E4963" w:rsidRPr="00113D17">
              <w:rPr>
                <w:sz w:val="20"/>
              </w:rPr>
              <w:t xml:space="preserve">Transport </w:t>
            </w:r>
            <w:r w:rsidRPr="00113D17">
              <w:rPr>
                <w:sz w:val="20"/>
              </w:rPr>
              <w:t xml:space="preserve">subsidies may </w:t>
            </w:r>
            <w:r w:rsidR="00F340B7" w:rsidRPr="00113D17">
              <w:rPr>
                <w:sz w:val="20"/>
              </w:rPr>
              <w:t>offset</w:t>
            </w:r>
            <w:r w:rsidRPr="00113D17">
              <w:rPr>
                <w:sz w:val="20"/>
              </w:rPr>
              <w:t xml:space="preserve"> the reduc</w:t>
            </w:r>
            <w:r w:rsidR="008E4963" w:rsidRPr="00113D17">
              <w:rPr>
                <w:sz w:val="20"/>
              </w:rPr>
              <w:t xml:space="preserve">tion of </w:t>
            </w:r>
            <w:r w:rsidR="00F340B7" w:rsidRPr="00113D17">
              <w:rPr>
                <w:sz w:val="20"/>
              </w:rPr>
              <w:t>emission</w:t>
            </w:r>
            <w:r w:rsidRPr="00113D17">
              <w:rPr>
                <w:sz w:val="20"/>
              </w:rPr>
              <w:t>s.</w:t>
            </w:r>
          </w:p>
        </w:tc>
        <w:tc>
          <w:tcPr>
            <w:tcW w:w="1967" w:type="dxa"/>
            <w:tcBorders>
              <w:right w:val="single" w:sz="2" w:space="0" w:color="auto"/>
            </w:tcBorders>
          </w:tcPr>
          <w:p w14:paraId="22EE0F05" w14:textId="10FABB59" w:rsidR="00177F5E" w:rsidRPr="00113D17" w:rsidRDefault="000731F5"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Pr>
                <w:rFonts w:ascii="Cambria" w:hAnsi="Cambria"/>
                <w:color w:val="000000"/>
                <w:sz w:val="20"/>
              </w:rPr>
              <w:t xml:space="preserve">Franco </w:t>
            </w:r>
            <w:r w:rsidRPr="000731F5">
              <w:rPr>
                <w:rFonts w:ascii="Cambria" w:hAnsi="Cambria"/>
                <w:i/>
                <w:color w:val="000000"/>
                <w:sz w:val="20"/>
              </w:rPr>
              <w:t>et al</w:t>
            </w:r>
            <w:r>
              <w:rPr>
                <w:rFonts w:ascii="Cambria" w:hAnsi="Cambria"/>
                <w:color w:val="000000"/>
                <w:sz w:val="20"/>
              </w:rPr>
              <w:t xml:space="preserve">. </w:t>
            </w:r>
            <w:r>
              <w:rPr>
                <w:sz w:val="20"/>
              </w:rPr>
              <w:t xml:space="preserve"> </w:t>
            </w:r>
            <w:r w:rsidR="00F340B7" w:rsidRPr="00113D17">
              <w:rPr>
                <w:sz w:val="20"/>
              </w:rPr>
              <w:t>2014</w:t>
            </w:r>
            <w:r w:rsidR="006C25C3" w:rsidRPr="00113D17">
              <w:rPr>
                <w:sz w:val="20"/>
              </w:rPr>
              <w:t xml:space="preserve">; European Commission </w:t>
            </w:r>
            <w:r w:rsidR="00F340B7" w:rsidRPr="00113D17">
              <w:rPr>
                <w:sz w:val="20"/>
              </w:rPr>
              <w:t>2015</w:t>
            </w:r>
            <w:r w:rsidR="00F14637" w:rsidRPr="00113D17">
              <w:rPr>
                <w:sz w:val="20"/>
              </w:rPr>
              <w:t xml:space="preserve">; </w:t>
            </w:r>
            <w:r w:rsidR="00177F5E" w:rsidRPr="00113D17">
              <w:rPr>
                <w:sz w:val="20"/>
              </w:rPr>
              <w:t xml:space="preserve">EEA </w:t>
            </w:r>
            <w:r w:rsidR="00F340B7" w:rsidRPr="00113D17">
              <w:rPr>
                <w:sz w:val="20"/>
              </w:rPr>
              <w:t>2015</w:t>
            </w:r>
          </w:p>
        </w:tc>
      </w:tr>
      <w:tr w:rsidR="00177F5E" w:rsidRPr="00113D17" w14:paraId="66863623"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tcBorders>
          </w:tcPr>
          <w:p w14:paraId="4E0C5147" w14:textId="77777777" w:rsidR="00177F5E" w:rsidRPr="00113D17" w:rsidRDefault="00177F5E" w:rsidP="00113D17">
            <w:pPr>
              <w:pStyle w:val="TableText"/>
              <w:spacing w:before="0" w:after="0" w:line="240" w:lineRule="auto"/>
              <w:rPr>
                <w:sz w:val="20"/>
              </w:rPr>
            </w:pPr>
            <w:r w:rsidRPr="00113D17">
              <w:rPr>
                <w:sz w:val="20"/>
              </w:rPr>
              <w:lastRenderedPageBreak/>
              <w:t>Transboundary effects</w:t>
            </w:r>
          </w:p>
        </w:tc>
        <w:tc>
          <w:tcPr>
            <w:tcW w:w="5386" w:type="dxa"/>
          </w:tcPr>
          <w:p w14:paraId="4996F6EC" w14:textId="77777777" w:rsidR="00177F5E" w:rsidRPr="00113D17" w:rsidRDefault="008E4963"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As the </w:t>
            </w:r>
            <w:r w:rsidR="00F41325" w:rsidRPr="00113D17">
              <w:rPr>
                <w:sz w:val="20"/>
              </w:rPr>
              <w:t>E</w:t>
            </w:r>
            <w:r w:rsidR="00F340B7" w:rsidRPr="00113D17">
              <w:rPr>
                <w:sz w:val="20"/>
              </w:rPr>
              <w:t>uro</w:t>
            </w:r>
            <w:r w:rsidRPr="00113D17">
              <w:rPr>
                <w:sz w:val="20"/>
              </w:rPr>
              <w:t xml:space="preserve"> standards </w:t>
            </w:r>
            <w:r w:rsidR="00F340B7" w:rsidRPr="00113D17">
              <w:rPr>
                <w:sz w:val="20"/>
              </w:rPr>
              <w:t>progress</w:t>
            </w:r>
            <w:r w:rsidRPr="00113D17">
              <w:rPr>
                <w:sz w:val="20"/>
              </w:rPr>
              <w:t xml:space="preserve">ively penetrated the </w:t>
            </w:r>
            <w:r w:rsidR="00F41325" w:rsidRPr="00113D17">
              <w:rPr>
                <w:sz w:val="20"/>
              </w:rPr>
              <w:t xml:space="preserve">international </w:t>
            </w:r>
            <w:r w:rsidRPr="00113D17">
              <w:rPr>
                <w:sz w:val="20"/>
              </w:rPr>
              <w:t>second</w:t>
            </w:r>
            <w:r w:rsidR="00F41325" w:rsidRPr="00113D17">
              <w:rPr>
                <w:sz w:val="20"/>
              </w:rPr>
              <w:t>-</w:t>
            </w:r>
            <w:r w:rsidRPr="00113D17">
              <w:rPr>
                <w:sz w:val="20"/>
              </w:rPr>
              <w:t xml:space="preserve">hand vehicle market, vehicle </w:t>
            </w:r>
            <w:r w:rsidR="00F340B7" w:rsidRPr="00113D17">
              <w:rPr>
                <w:sz w:val="20"/>
              </w:rPr>
              <w:t>emission</w:t>
            </w:r>
            <w:r w:rsidRPr="00113D17">
              <w:rPr>
                <w:sz w:val="20"/>
              </w:rPr>
              <w:t>s were lowered in countries without similar regulations.</w:t>
            </w:r>
          </w:p>
        </w:tc>
        <w:tc>
          <w:tcPr>
            <w:tcW w:w="1967" w:type="dxa"/>
            <w:tcBorders>
              <w:right w:val="single" w:sz="2" w:space="0" w:color="auto"/>
            </w:tcBorders>
          </w:tcPr>
          <w:p w14:paraId="3F8B8550" w14:textId="77777777" w:rsidR="00177F5E" w:rsidRPr="00113D17" w:rsidRDefault="00177F5E"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177F5E" w:rsidRPr="00113D17" w14:paraId="51A8AB66" w14:textId="77777777" w:rsidTr="000056BB">
        <w:tc>
          <w:tcPr>
            <w:cnfStyle w:val="001000000000" w:firstRow="0" w:lastRow="0" w:firstColumn="1" w:lastColumn="0" w:oddVBand="0" w:evenVBand="0" w:oddHBand="0" w:evenHBand="0" w:firstRowFirstColumn="0" w:firstRowLastColumn="0" w:lastRowFirstColumn="0" w:lastRowLastColumn="0"/>
            <w:tcW w:w="1529" w:type="dxa"/>
            <w:tcBorders>
              <w:left w:val="single" w:sz="2" w:space="0" w:color="auto"/>
              <w:bottom w:val="single" w:sz="2" w:space="0" w:color="auto"/>
            </w:tcBorders>
          </w:tcPr>
          <w:p w14:paraId="45D7C205" w14:textId="77777777" w:rsidR="00177F5E" w:rsidRPr="00113D17" w:rsidRDefault="00177F5E" w:rsidP="00113D17">
            <w:pPr>
              <w:pStyle w:val="TableText"/>
              <w:spacing w:before="0" w:after="0" w:line="240" w:lineRule="auto"/>
              <w:rPr>
                <w:sz w:val="20"/>
              </w:rPr>
            </w:pPr>
            <w:r w:rsidRPr="00113D17">
              <w:rPr>
                <w:sz w:val="20"/>
              </w:rPr>
              <w:t>Possible improvements</w:t>
            </w:r>
          </w:p>
        </w:tc>
        <w:tc>
          <w:tcPr>
            <w:tcW w:w="5386" w:type="dxa"/>
            <w:tcBorders>
              <w:bottom w:val="single" w:sz="2" w:space="0" w:color="auto"/>
            </w:tcBorders>
          </w:tcPr>
          <w:p w14:paraId="013B037A" w14:textId="77777777" w:rsidR="00177F5E" w:rsidRPr="00113D17" w:rsidRDefault="00AA3430"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Reduce the margins of technical uncertainty in testing, eliminate test flexibilities</w:t>
            </w:r>
            <w:r w:rsidR="00F41325" w:rsidRPr="00113D17">
              <w:rPr>
                <w:sz w:val="20"/>
              </w:rPr>
              <w:t>,</w:t>
            </w:r>
            <w:r w:rsidRPr="00113D17">
              <w:rPr>
                <w:sz w:val="20"/>
              </w:rPr>
              <w:t xml:space="preserve"> and increase </w:t>
            </w:r>
            <w:r w:rsidR="00F340B7" w:rsidRPr="00113D17">
              <w:rPr>
                <w:sz w:val="20"/>
              </w:rPr>
              <w:t>emission</w:t>
            </w:r>
            <w:r w:rsidRPr="00113D17">
              <w:rPr>
                <w:sz w:val="20"/>
              </w:rPr>
              <w:t xml:space="preserve">s </w:t>
            </w:r>
            <w:r w:rsidR="00F340B7" w:rsidRPr="00113D17">
              <w:rPr>
                <w:sz w:val="20"/>
              </w:rPr>
              <w:t>check</w:t>
            </w:r>
            <w:r w:rsidRPr="00113D17">
              <w:rPr>
                <w:sz w:val="20"/>
              </w:rPr>
              <w:t>s of cars in circulation.</w:t>
            </w:r>
          </w:p>
        </w:tc>
        <w:tc>
          <w:tcPr>
            <w:tcW w:w="1967" w:type="dxa"/>
            <w:tcBorders>
              <w:bottom w:val="single" w:sz="2" w:space="0" w:color="auto"/>
              <w:right w:val="single" w:sz="2" w:space="0" w:color="auto"/>
            </w:tcBorders>
          </w:tcPr>
          <w:p w14:paraId="500101A3" w14:textId="77777777" w:rsidR="00177F5E" w:rsidRPr="00113D17" w:rsidRDefault="00177F5E"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bl>
    <w:p w14:paraId="4EC43D8C" w14:textId="77777777" w:rsidR="00F340B7" w:rsidRPr="004A1A26" w:rsidRDefault="00F340B7" w:rsidP="00B477F5"/>
    <w:p w14:paraId="6BAB5DF9" w14:textId="397CE3ED" w:rsidR="002E15A7" w:rsidRDefault="0062718D" w:rsidP="00B477F5">
      <w:r w:rsidRPr="004A1A26">
        <w:t xml:space="preserve">The </w:t>
      </w:r>
      <w:r w:rsidR="00F41325" w:rsidRPr="004A1A26">
        <w:t>E</w:t>
      </w:r>
      <w:r w:rsidR="00F340B7" w:rsidRPr="004A1A26">
        <w:t>uro</w:t>
      </w:r>
      <w:r w:rsidRPr="004A1A26">
        <w:t xml:space="preserve"> standards have been successful in decreasing </w:t>
      </w:r>
      <w:r w:rsidR="00F340B7" w:rsidRPr="004A1A26">
        <w:t>emission</w:t>
      </w:r>
      <w:r w:rsidRPr="004A1A26">
        <w:t xml:space="preserve">s of air pollutants and GHGs per unit of travel, as </w:t>
      </w:r>
      <w:r w:rsidR="00F340B7" w:rsidRPr="004A1A26">
        <w:t>well</w:t>
      </w:r>
      <w:r w:rsidRPr="004A1A26">
        <w:t xml:space="preserve"> as reducing overall transportation </w:t>
      </w:r>
      <w:r w:rsidR="00F340B7" w:rsidRPr="004A1A26">
        <w:t>emission</w:t>
      </w:r>
      <w:r w:rsidRPr="004A1A26">
        <w:t xml:space="preserve">s even while transportation activity </w:t>
      </w:r>
      <w:r w:rsidR="00F14637" w:rsidRPr="004A1A26">
        <w:t xml:space="preserve">has increased (EEA </w:t>
      </w:r>
      <w:r w:rsidR="00F340B7" w:rsidRPr="004A1A26">
        <w:t>2015</w:t>
      </w:r>
      <w:r w:rsidR="00F14637" w:rsidRPr="004A1A26">
        <w:t>, p</w:t>
      </w:r>
      <w:r w:rsidR="00F41325" w:rsidRPr="004A1A26">
        <w:t>p</w:t>
      </w:r>
      <w:r w:rsidR="00F14637" w:rsidRPr="004A1A26">
        <w:t xml:space="preserve">. </w:t>
      </w:r>
      <w:r w:rsidRPr="004A1A26">
        <w:t xml:space="preserve">25, 30, 32, 33, 37, 38, </w:t>
      </w:r>
      <w:r w:rsidR="00F14637" w:rsidRPr="004A1A26">
        <w:t xml:space="preserve">46; EEA </w:t>
      </w:r>
      <w:r w:rsidR="00F340B7" w:rsidRPr="004A1A26">
        <w:t>2017</w:t>
      </w:r>
      <w:r w:rsidR="00F14637" w:rsidRPr="004A1A26">
        <w:t xml:space="preserve">, p. </w:t>
      </w:r>
      <w:r w:rsidRPr="004A1A26">
        <w:t>19). They have also led to a measurable decrease in air pollution concentrations, especially close to roads (EEA 2016b</w:t>
      </w:r>
      <w:r w:rsidR="00690B74" w:rsidRPr="004A1A26">
        <w:t>, p</w:t>
      </w:r>
      <w:r w:rsidR="00F41325" w:rsidRPr="004A1A26">
        <w:t>p</w:t>
      </w:r>
      <w:r w:rsidR="00690B74" w:rsidRPr="004A1A26">
        <w:t xml:space="preserve">. </w:t>
      </w:r>
      <w:r w:rsidRPr="004A1A26">
        <w:t>31, 43, 77</w:t>
      </w:r>
      <w:r w:rsidR="00F41325" w:rsidRPr="004A1A26">
        <w:t>–</w:t>
      </w:r>
      <w:r w:rsidRPr="004A1A26">
        <w:t>79, 82).</w:t>
      </w:r>
      <w:r w:rsidR="002E15A7">
        <w:t xml:space="preserve"> </w:t>
      </w:r>
      <w:r w:rsidRPr="004A1A26">
        <w:t xml:space="preserve">However, these reductions fall short of the targets outlined in the policy, due to differences </w:t>
      </w:r>
      <w:r w:rsidR="00F41325" w:rsidRPr="004A1A26">
        <w:t xml:space="preserve">between </w:t>
      </w:r>
      <w:r w:rsidRPr="004A1A26">
        <w:t xml:space="preserve">real-world behaviour </w:t>
      </w:r>
      <w:r w:rsidR="00F41325" w:rsidRPr="004A1A26">
        <w:t xml:space="preserve">and </w:t>
      </w:r>
      <w:r w:rsidR="00F340B7" w:rsidRPr="004A1A26">
        <w:t>emission</w:t>
      </w:r>
      <w:r w:rsidRPr="004A1A26">
        <w:t xml:space="preserve">s under </w:t>
      </w:r>
      <w:r w:rsidR="00F340B7" w:rsidRPr="004A1A26">
        <w:t>laborator</w:t>
      </w:r>
      <w:r w:rsidRPr="004A1A26">
        <w:t>y testing conditions (E</w:t>
      </w:r>
      <w:r w:rsidR="00690B74" w:rsidRPr="004A1A26">
        <w:t xml:space="preserve">EA </w:t>
      </w:r>
      <w:r w:rsidR="00F340B7" w:rsidRPr="004A1A26">
        <w:t>2015</w:t>
      </w:r>
      <w:r w:rsidR="00690B74" w:rsidRPr="004A1A26">
        <w:t xml:space="preserve">, p. </w:t>
      </w:r>
      <w:r w:rsidRPr="004A1A26">
        <w:t>46</w:t>
      </w:r>
      <w:r w:rsidR="00690B74" w:rsidRPr="004A1A26">
        <w:t>; EEA 2016a, pp. 27</w:t>
      </w:r>
      <w:r w:rsidR="00F41325" w:rsidRPr="004A1A26">
        <w:t>–</w:t>
      </w:r>
      <w:r w:rsidR="00690B74" w:rsidRPr="004A1A26">
        <w:t>37</w:t>
      </w:r>
      <w:r w:rsidRPr="004A1A26">
        <w:t>).</w:t>
      </w:r>
      <w:r w:rsidR="000731F5">
        <w:t xml:space="preserve"> </w:t>
      </w:r>
      <w:r w:rsidRPr="004A1A26">
        <w:t>Th</w:t>
      </w:r>
      <w:r w:rsidR="00F41325" w:rsidRPr="004A1A26">
        <w:t>ese</w:t>
      </w:r>
      <w:r w:rsidRPr="004A1A26">
        <w:t xml:space="preserve"> difference</w:t>
      </w:r>
      <w:r w:rsidR="00F41325" w:rsidRPr="004A1A26">
        <w:t>s have</w:t>
      </w:r>
      <w:r w:rsidRPr="004A1A26">
        <w:t xml:space="preserve"> increased considerably since </w:t>
      </w:r>
      <w:r w:rsidR="00F340B7" w:rsidRPr="004A1A26">
        <w:t>2000</w:t>
      </w:r>
      <w:r w:rsidRPr="004A1A26">
        <w:t>, especially for CO</w:t>
      </w:r>
      <w:r w:rsidRPr="004A1A26">
        <w:rPr>
          <w:vertAlign w:val="subscript"/>
        </w:rPr>
        <w:t>2</w:t>
      </w:r>
      <w:r w:rsidRPr="004A1A26">
        <w:t xml:space="preserve"> and NO</w:t>
      </w:r>
      <w:r w:rsidRPr="004A1A26">
        <w:rPr>
          <w:vertAlign w:val="subscript"/>
        </w:rPr>
        <w:t>x</w:t>
      </w:r>
      <w:r w:rsidR="00132CA0" w:rsidRPr="00132CA0">
        <w:t xml:space="preserve"> </w:t>
      </w:r>
      <w:r w:rsidR="00F340B7" w:rsidRPr="004A1A26">
        <w:t>emission</w:t>
      </w:r>
      <w:r w:rsidRPr="004A1A26">
        <w:t>s in diesel cars, mainly due to:</w:t>
      </w:r>
    </w:p>
    <w:p w14:paraId="07A4AFC4" w14:textId="132599E3" w:rsidR="002E15A7" w:rsidRDefault="0062718D" w:rsidP="00295C08">
      <w:pPr>
        <w:pStyle w:val="ListParagraph"/>
        <w:numPr>
          <w:ilvl w:val="1"/>
          <w:numId w:val="15"/>
        </w:numPr>
        <w:spacing w:after="120"/>
        <w:ind w:left="1498"/>
      </w:pPr>
      <w:r w:rsidRPr="004A1A26">
        <w:t>the test procedure</w:t>
      </w:r>
      <w:r w:rsidR="00F41325" w:rsidRPr="004A1A26">
        <w:t>, which</w:t>
      </w:r>
      <w:r w:rsidRPr="004A1A26">
        <w:t xml:space="preserve"> did not reflect real-world driving conditions;</w:t>
      </w:r>
    </w:p>
    <w:p w14:paraId="02735CE1" w14:textId="248D62F9" w:rsidR="002E15A7" w:rsidRDefault="0062718D" w:rsidP="00295C08">
      <w:pPr>
        <w:pStyle w:val="ListParagraph"/>
        <w:numPr>
          <w:ilvl w:val="1"/>
          <w:numId w:val="15"/>
        </w:numPr>
        <w:spacing w:after="120"/>
        <w:ind w:left="1498"/>
      </w:pPr>
      <w:r w:rsidRPr="004A1A26">
        <w:t>flexibilities in the procedures</w:t>
      </w:r>
      <w:r w:rsidR="00F41325" w:rsidRPr="004A1A26">
        <w:t>, which</w:t>
      </w:r>
      <w:r w:rsidRPr="004A1A26">
        <w:t xml:space="preserve"> allowed manufacturers to achieve lower fuel consumption and </w:t>
      </w:r>
      <w:r w:rsidR="00F340B7" w:rsidRPr="004A1A26">
        <w:t>emission</w:t>
      </w:r>
      <w:r w:rsidR="00F41325" w:rsidRPr="004A1A26">
        <w:t>s</w:t>
      </w:r>
      <w:r w:rsidRPr="004A1A26">
        <w:t xml:space="preserve"> values during testing;</w:t>
      </w:r>
    </w:p>
    <w:p w14:paraId="5E0BA819" w14:textId="5F1ABC34" w:rsidR="002E15A7" w:rsidRDefault="0062718D" w:rsidP="00295C08">
      <w:pPr>
        <w:pStyle w:val="ListParagraph"/>
        <w:numPr>
          <w:ilvl w:val="1"/>
          <w:numId w:val="15"/>
        </w:numPr>
        <w:spacing w:after="120"/>
        <w:ind w:left="1498"/>
      </w:pPr>
      <w:r w:rsidRPr="004A1A26">
        <w:t xml:space="preserve">several in-use factors, </w:t>
      </w:r>
      <w:r w:rsidR="00F41325" w:rsidRPr="004A1A26">
        <w:t xml:space="preserve">such as </w:t>
      </w:r>
      <w:r w:rsidRPr="004A1A26">
        <w:t>driving style and environmental conditions; and</w:t>
      </w:r>
    </w:p>
    <w:p w14:paraId="77F00A5F" w14:textId="1FB2F740" w:rsidR="002E15A7" w:rsidRDefault="0062718D" w:rsidP="00295C08">
      <w:pPr>
        <w:pStyle w:val="ListParagraph"/>
        <w:numPr>
          <w:ilvl w:val="1"/>
          <w:numId w:val="15"/>
        </w:numPr>
        <w:spacing w:after="120"/>
        <w:ind w:left="1498"/>
      </w:pPr>
      <w:r w:rsidRPr="004A1A26">
        <w:t xml:space="preserve">the use of </w:t>
      </w:r>
      <w:r w:rsidR="00F340B7" w:rsidRPr="004A1A26">
        <w:t>‘</w:t>
      </w:r>
      <w:r w:rsidRPr="004A1A26">
        <w:t>defeat devices</w:t>
      </w:r>
      <w:r w:rsidR="00F340B7" w:rsidRPr="004A1A26">
        <w:t>’</w:t>
      </w:r>
      <w:r w:rsidRPr="004A1A26">
        <w:t xml:space="preserve"> designed to lower </w:t>
      </w:r>
      <w:r w:rsidR="00F340B7" w:rsidRPr="004A1A26">
        <w:t>emission</w:t>
      </w:r>
      <w:r w:rsidRPr="004A1A26">
        <w:t xml:space="preserve">s measured during vehicle testing in </w:t>
      </w:r>
      <w:r w:rsidR="00F41325" w:rsidRPr="004A1A26">
        <w:t xml:space="preserve">the </w:t>
      </w:r>
      <w:r w:rsidR="00F340B7" w:rsidRPr="004A1A26">
        <w:t>laborator</w:t>
      </w:r>
      <w:r w:rsidRPr="004A1A26">
        <w:t xml:space="preserve">y but not on the road. </w:t>
      </w:r>
    </w:p>
    <w:p w14:paraId="597A075D" w14:textId="5253AF13" w:rsidR="00F340B7" w:rsidRPr="004A1A26" w:rsidRDefault="0062718D" w:rsidP="002E15A7">
      <w:r w:rsidRPr="004A1A26">
        <w:t xml:space="preserve">Only after the diesel-gate scandal in </w:t>
      </w:r>
      <w:r w:rsidR="00F340B7" w:rsidRPr="004A1A26">
        <w:t>2015</w:t>
      </w:r>
      <w:r w:rsidR="002E15A7">
        <w:t xml:space="preserve"> </w:t>
      </w:r>
      <w:r w:rsidR="00663645" w:rsidRPr="004A1A26">
        <w:t>(</w:t>
      </w:r>
      <w:proofErr w:type="spellStart"/>
      <w:r w:rsidR="00663645" w:rsidRPr="004A1A26">
        <w:t>Hotten</w:t>
      </w:r>
      <w:proofErr w:type="spellEnd"/>
      <w:r w:rsidR="00663645" w:rsidRPr="004A1A26">
        <w:t xml:space="preserve"> 2015) </w:t>
      </w:r>
      <w:r w:rsidRPr="004A1A26">
        <w:t xml:space="preserve">was there enough political awareness and will to change the </w:t>
      </w:r>
      <w:r w:rsidR="00F340B7" w:rsidRPr="004A1A26">
        <w:t>laborator</w:t>
      </w:r>
      <w:r w:rsidRPr="004A1A26">
        <w:t>y test cycle to better reflect real</w:t>
      </w:r>
      <w:r w:rsidR="00F41325" w:rsidRPr="004A1A26">
        <w:t>-</w:t>
      </w:r>
      <w:r w:rsidRPr="004A1A26">
        <w:t xml:space="preserve">world </w:t>
      </w:r>
      <w:r w:rsidR="00F340B7" w:rsidRPr="004A1A26">
        <w:t>emission</w:t>
      </w:r>
      <w:r w:rsidRPr="004A1A26">
        <w:t>s (</w:t>
      </w:r>
      <w:r w:rsidR="006C7B17" w:rsidRPr="004A1A26">
        <w:t>European Union 2016</w:t>
      </w:r>
      <w:r w:rsidRPr="004A1A26">
        <w:t>).</w:t>
      </w:r>
    </w:p>
    <w:p w14:paraId="39795D04" w14:textId="2FC41C5B" w:rsidR="00F340B7" w:rsidRPr="004A1A26" w:rsidRDefault="0062718D" w:rsidP="00B477F5">
      <w:pPr>
        <w:pStyle w:val="NormalWeb"/>
        <w:rPr>
          <w:lang w:val="en-GB"/>
        </w:rPr>
      </w:pPr>
      <w:r w:rsidRPr="004A1A26">
        <w:rPr>
          <w:lang w:val="en-GB"/>
        </w:rPr>
        <w:t>In view of the shortcomings of the implemented standards, the test cycles were reviewed</w:t>
      </w:r>
      <w:r w:rsidR="00F41325" w:rsidRPr="004A1A26">
        <w:rPr>
          <w:lang w:val="en-GB"/>
        </w:rPr>
        <w:t>,</w:t>
      </w:r>
      <w:r w:rsidRPr="004A1A26">
        <w:rPr>
          <w:lang w:val="en-GB"/>
        </w:rPr>
        <w:t xml:space="preserve"> and new and more reliable </w:t>
      </w:r>
      <w:r w:rsidR="00F340B7" w:rsidRPr="004A1A26">
        <w:rPr>
          <w:lang w:val="en-GB"/>
        </w:rPr>
        <w:t>emission</w:t>
      </w:r>
      <w:r w:rsidRPr="004A1A26">
        <w:rPr>
          <w:lang w:val="en-GB"/>
        </w:rPr>
        <w:t xml:space="preserve">s tests in real driving conditions, as </w:t>
      </w:r>
      <w:r w:rsidR="00F340B7" w:rsidRPr="004A1A26">
        <w:rPr>
          <w:lang w:val="en-GB"/>
        </w:rPr>
        <w:t>well</w:t>
      </w:r>
      <w:r w:rsidRPr="004A1A26">
        <w:rPr>
          <w:lang w:val="en-GB"/>
        </w:rPr>
        <w:t xml:space="preserve"> as improved </w:t>
      </w:r>
      <w:r w:rsidR="00F340B7" w:rsidRPr="004A1A26">
        <w:rPr>
          <w:lang w:val="en-GB"/>
        </w:rPr>
        <w:t>laborator</w:t>
      </w:r>
      <w:r w:rsidRPr="004A1A26">
        <w:rPr>
          <w:lang w:val="en-GB"/>
        </w:rPr>
        <w:t xml:space="preserve">y tests, were introduced for new car models sold in Europe in </w:t>
      </w:r>
      <w:r w:rsidR="00F340B7" w:rsidRPr="004A1A26">
        <w:rPr>
          <w:lang w:val="en-GB"/>
        </w:rPr>
        <w:t>2017</w:t>
      </w:r>
      <w:r w:rsidRPr="004A1A26">
        <w:rPr>
          <w:lang w:val="en-GB"/>
        </w:rPr>
        <w:t xml:space="preserve">. In addition, </w:t>
      </w:r>
      <w:r w:rsidR="00F41325" w:rsidRPr="004A1A26">
        <w:rPr>
          <w:lang w:val="en-GB"/>
        </w:rPr>
        <w:t xml:space="preserve">the European Commission presented </w:t>
      </w:r>
      <w:r w:rsidRPr="004A1A26">
        <w:rPr>
          <w:lang w:val="en-GB"/>
        </w:rPr>
        <w:t xml:space="preserve">a new proposal in </w:t>
      </w:r>
      <w:r w:rsidR="00F340B7" w:rsidRPr="004A1A26">
        <w:rPr>
          <w:lang w:val="en-GB"/>
        </w:rPr>
        <w:t>2018</w:t>
      </w:r>
      <w:r w:rsidR="002B0D95" w:rsidRPr="004A1A26">
        <w:rPr>
          <w:lang w:val="en-GB"/>
        </w:rPr>
        <w:t>,</w:t>
      </w:r>
      <w:r w:rsidRPr="004A1A26">
        <w:rPr>
          <w:lang w:val="en-GB"/>
        </w:rPr>
        <w:t xml:space="preserve"> aiming </w:t>
      </w:r>
      <w:r w:rsidR="00F41325" w:rsidRPr="004A1A26">
        <w:rPr>
          <w:lang w:val="en-GB"/>
        </w:rPr>
        <w:t xml:space="preserve">to </w:t>
      </w:r>
      <w:r w:rsidRPr="004A1A26">
        <w:rPr>
          <w:lang w:val="en-GB"/>
        </w:rPr>
        <w:t>reduc</w:t>
      </w:r>
      <w:r w:rsidR="00F41325" w:rsidRPr="004A1A26">
        <w:rPr>
          <w:lang w:val="en-GB"/>
        </w:rPr>
        <w:t>e</w:t>
      </w:r>
      <w:r w:rsidRPr="004A1A26">
        <w:rPr>
          <w:lang w:val="en-GB"/>
        </w:rPr>
        <w:t xml:space="preserve"> the margins of technical uncertainty in testing, eliminat</w:t>
      </w:r>
      <w:r w:rsidR="00F41325" w:rsidRPr="004A1A26">
        <w:rPr>
          <w:lang w:val="en-GB"/>
        </w:rPr>
        <w:t>e</w:t>
      </w:r>
      <w:r w:rsidRPr="004A1A26">
        <w:rPr>
          <w:lang w:val="en-GB"/>
        </w:rPr>
        <w:t xml:space="preserve"> test flexibilities and increas</w:t>
      </w:r>
      <w:r w:rsidR="00F41325" w:rsidRPr="004A1A26">
        <w:rPr>
          <w:lang w:val="en-GB"/>
        </w:rPr>
        <w:t>e</w:t>
      </w:r>
      <w:r w:rsidR="00113D17">
        <w:rPr>
          <w:lang w:val="en-GB"/>
        </w:rPr>
        <w:t xml:space="preserve"> </w:t>
      </w:r>
      <w:r w:rsidR="00F340B7" w:rsidRPr="004A1A26">
        <w:rPr>
          <w:lang w:val="en-GB"/>
        </w:rPr>
        <w:t>emission</w:t>
      </w:r>
      <w:r w:rsidRPr="004A1A26">
        <w:rPr>
          <w:lang w:val="en-GB"/>
        </w:rPr>
        <w:t xml:space="preserve">s </w:t>
      </w:r>
      <w:r w:rsidR="00F340B7" w:rsidRPr="004A1A26">
        <w:rPr>
          <w:lang w:val="en-GB"/>
        </w:rPr>
        <w:t>check</w:t>
      </w:r>
      <w:r w:rsidRPr="004A1A26">
        <w:rPr>
          <w:lang w:val="en-GB"/>
        </w:rPr>
        <w:t>s of cars in circulation</w:t>
      </w:r>
      <w:r w:rsidR="002E15A7">
        <w:rPr>
          <w:lang w:val="en-GB"/>
        </w:rPr>
        <w:t>.</w:t>
      </w:r>
    </w:p>
    <w:p w14:paraId="7FF2414F" w14:textId="77777777" w:rsidR="00F340B7" w:rsidRPr="004A1A26" w:rsidRDefault="00F32F98" w:rsidP="00A41281">
      <w:pPr>
        <w:pStyle w:val="Heading3"/>
      </w:pPr>
      <w:bookmarkStart w:id="24" w:name="_Ref511648230"/>
      <w:bookmarkStart w:id="25" w:name="_Toc516842467"/>
      <w:r w:rsidRPr="004A1A26">
        <w:t xml:space="preserve">Market </w:t>
      </w:r>
      <w:r w:rsidR="002B0D95" w:rsidRPr="004A1A26">
        <w:t>i</w:t>
      </w:r>
      <w:r w:rsidRPr="004A1A26">
        <w:t>nterventions</w:t>
      </w:r>
      <w:bookmarkEnd w:id="24"/>
      <w:bookmarkEnd w:id="25"/>
    </w:p>
    <w:p w14:paraId="0BC07242" w14:textId="0DCE48E6" w:rsidR="00F340B7" w:rsidRPr="004A1A26" w:rsidRDefault="00F32F98" w:rsidP="00B477F5">
      <w:r w:rsidRPr="004A1A26">
        <w:t xml:space="preserve">As </w:t>
      </w:r>
      <w:r w:rsidR="00CF6AC1" w:rsidRPr="004A1A26">
        <w:t>a</w:t>
      </w:r>
      <w:r w:rsidR="00017E4F" w:rsidRPr="004A1A26">
        <w:t xml:space="preserve"> potential </w:t>
      </w:r>
      <w:r w:rsidR="00502E60">
        <w:t xml:space="preserve">alternative </w:t>
      </w:r>
      <w:r w:rsidRPr="004A1A26">
        <w:t xml:space="preserve">to mandating </w:t>
      </w:r>
      <w:r w:rsidR="0036672D" w:rsidRPr="004A1A26">
        <w:t>lifestyle</w:t>
      </w:r>
      <w:r w:rsidRPr="004A1A26">
        <w:t xml:space="preserve"> and technol</w:t>
      </w:r>
      <w:r w:rsidR="00F340B7" w:rsidRPr="004A1A26">
        <w:t>ogy</w:t>
      </w:r>
      <w:r w:rsidRPr="004A1A26">
        <w:t xml:space="preserve"> choices, governments can also guide </w:t>
      </w:r>
      <w:r w:rsidR="0036672D" w:rsidRPr="004A1A26">
        <w:t>lifestyle</w:t>
      </w:r>
      <w:r w:rsidRPr="004A1A26">
        <w:t xml:space="preserve"> and choices by creating economic incentives </w:t>
      </w:r>
      <w:r w:rsidR="00F340B7" w:rsidRPr="004A1A26">
        <w:t>(e.g.</w:t>
      </w:r>
      <w:r w:rsidRPr="004A1A26">
        <w:t xml:space="preserve"> subsidies, tax credits, loans or price guarantees) or disincentives </w:t>
      </w:r>
      <w:r w:rsidR="00F340B7" w:rsidRPr="004A1A26">
        <w:t>(e.g.</w:t>
      </w:r>
      <w:r w:rsidRPr="004A1A26">
        <w:t xml:space="preserve"> fees or taxes) in existing markets or </w:t>
      </w:r>
      <w:r w:rsidR="002B0D95" w:rsidRPr="004A1A26">
        <w:t xml:space="preserve">by </w:t>
      </w:r>
      <w:r w:rsidRPr="004A1A26">
        <w:t xml:space="preserve">creating new markets for rights or commodities that have not been traded </w:t>
      </w:r>
      <w:r w:rsidR="00F340B7" w:rsidRPr="004A1A26">
        <w:t>(e.g.</w:t>
      </w:r>
      <w:r w:rsidR="00D60C15">
        <w:t xml:space="preserve"> </w:t>
      </w:r>
      <w:r w:rsidR="00F340B7" w:rsidRPr="004A1A26">
        <w:t>emission</w:t>
      </w:r>
      <w:r w:rsidR="002B0D95" w:rsidRPr="004A1A26">
        <w:t>s</w:t>
      </w:r>
      <w:r w:rsidRPr="004A1A26">
        <w:t xml:space="preserve"> reduction credits or renewable energy credits).</w:t>
      </w:r>
      <w:r w:rsidR="00D60C15">
        <w:t xml:space="preserve"> </w:t>
      </w:r>
      <w:r w:rsidRPr="004A1A26">
        <w:t>All these types of market interventions have been used to some extent to mitigate air pollution, climate change, ODS</w:t>
      </w:r>
      <w:r w:rsidR="002B0D95" w:rsidRPr="004A1A26">
        <w:t>s</w:t>
      </w:r>
      <w:r w:rsidRPr="004A1A26">
        <w:t xml:space="preserve"> or PBTs.</w:t>
      </w:r>
    </w:p>
    <w:p w14:paraId="70EBF982" w14:textId="11B0BA5C" w:rsidR="00F340B7" w:rsidRPr="004A1A26" w:rsidRDefault="004E090D" w:rsidP="00B477F5">
      <w:r w:rsidRPr="004A1A26">
        <w:lastRenderedPageBreak/>
        <w:t>In the DPSIR framework</w:t>
      </w:r>
      <w:r w:rsidR="00003603">
        <w:t xml:space="preserve"> (Figure 1.2, Chapter 1)</w:t>
      </w:r>
      <w:r w:rsidRPr="004A1A26">
        <w:t>, m</w:t>
      </w:r>
      <w:r w:rsidR="00F32F98" w:rsidRPr="004A1A26">
        <w:t xml:space="preserve">arket interventions affect the </w:t>
      </w:r>
      <w:r w:rsidR="00F340B7" w:rsidRPr="004A1A26">
        <w:t>‘</w:t>
      </w:r>
      <w:r w:rsidR="00F32F98" w:rsidRPr="004A1A26">
        <w:t>drivers</w:t>
      </w:r>
      <w:r w:rsidR="00F340B7" w:rsidRPr="004A1A26">
        <w:t>’</w:t>
      </w:r>
      <w:r w:rsidR="00F32F98" w:rsidRPr="004A1A26">
        <w:t xml:space="preserve"> of environmental issues, which in turn affect the </w:t>
      </w:r>
      <w:r w:rsidR="00F340B7" w:rsidRPr="004A1A26">
        <w:t>‘</w:t>
      </w:r>
      <w:r w:rsidR="00F32F98" w:rsidRPr="004A1A26">
        <w:t>pressures</w:t>
      </w:r>
      <w:r w:rsidR="00F340B7" w:rsidRPr="004A1A26">
        <w:t>’</w:t>
      </w:r>
      <w:r w:rsidR="00F32F98" w:rsidRPr="004A1A26">
        <w:t xml:space="preserve"> and </w:t>
      </w:r>
      <w:r w:rsidR="002B0D95" w:rsidRPr="004A1A26">
        <w:t xml:space="preserve">the </w:t>
      </w:r>
      <w:r w:rsidR="00F32F98" w:rsidRPr="004A1A26">
        <w:t xml:space="preserve">environmental </w:t>
      </w:r>
      <w:r w:rsidR="00F340B7" w:rsidRPr="004A1A26">
        <w:t>‘</w:t>
      </w:r>
      <w:r w:rsidR="00F32F98" w:rsidRPr="004A1A26">
        <w:t>state</w:t>
      </w:r>
      <w:r w:rsidR="00F340B7" w:rsidRPr="004A1A26">
        <w:t>’</w:t>
      </w:r>
      <w:r w:rsidR="00F32F98" w:rsidRPr="004A1A26">
        <w:t>.</w:t>
      </w:r>
    </w:p>
    <w:p w14:paraId="27CFDE86" w14:textId="77777777" w:rsidR="00F340B7" w:rsidRPr="004A1A26" w:rsidRDefault="00F32F98" w:rsidP="00B477F5">
      <w:r w:rsidRPr="004A1A26">
        <w:t xml:space="preserve">Although market interventions do not directly decrease </w:t>
      </w:r>
      <w:r w:rsidR="00F340B7" w:rsidRPr="004A1A26">
        <w:t>emission</w:t>
      </w:r>
      <w:r w:rsidRPr="004A1A26">
        <w:t xml:space="preserve">s or ambient concentrations, they provide regulated individuals and businesses with flexibility and can create an incentive to improve performance and lower costs. Thus, a properly designed and adjusted market intervention may achieve </w:t>
      </w:r>
      <w:r w:rsidR="00F340B7" w:rsidRPr="004A1A26">
        <w:t>emission</w:t>
      </w:r>
      <w:r w:rsidRPr="004A1A26">
        <w:t xml:space="preserve">s reductions more efficiently than </w:t>
      </w:r>
      <w:r w:rsidR="00F340B7" w:rsidRPr="004A1A26">
        <w:t>‘</w:t>
      </w:r>
      <w:r w:rsidRPr="004A1A26">
        <w:t>command and control</w:t>
      </w:r>
      <w:r w:rsidR="00F340B7" w:rsidRPr="004A1A26">
        <w:t>’</w:t>
      </w:r>
      <w:r w:rsidRPr="004A1A26">
        <w:t xml:space="preserve"> approaches.</w:t>
      </w:r>
    </w:p>
    <w:p w14:paraId="6C987C8A" w14:textId="3DCF4578" w:rsidR="00F340B7" w:rsidRPr="004A1A26" w:rsidRDefault="00F32F98" w:rsidP="00B477F5">
      <w:r w:rsidRPr="004A1A26">
        <w:t xml:space="preserve">Markets are affected by many factors which are beyond government control. Therefore, market interventions must be adjusted periodically to reflect changing conditions. It is helpful if those adjustments can be made within the context of a planning regime (see </w:t>
      </w:r>
      <w:r w:rsidR="002B0D95" w:rsidRPr="004A1A26">
        <w:t>s</w:t>
      </w:r>
      <w:r w:rsidRPr="004A1A26">
        <w:t xml:space="preserve">ection </w:t>
      </w:r>
      <w:r w:rsidR="00CF6FD2" w:rsidRPr="004A1A26">
        <w:t>11.</w:t>
      </w:r>
      <w:r w:rsidR="00003603">
        <w:t>3</w:t>
      </w:r>
      <w:r w:rsidRPr="004A1A26">
        <w:t xml:space="preserve">) so that </w:t>
      </w:r>
      <w:r w:rsidR="00F340B7" w:rsidRPr="004A1A26">
        <w:t>progress</w:t>
      </w:r>
      <w:r w:rsidR="00156392">
        <w:t xml:space="preserve"> </w:t>
      </w:r>
      <w:r w:rsidR="00F340B7" w:rsidRPr="004A1A26">
        <w:t>towards</w:t>
      </w:r>
      <w:r w:rsidRPr="004A1A26">
        <w:t xml:space="preserve"> a desired state can be evaluated and tracked.</w:t>
      </w:r>
    </w:p>
    <w:p w14:paraId="30EEAD60" w14:textId="00D25DB4" w:rsidR="00F340B7" w:rsidRPr="004A1A26" w:rsidRDefault="00F32F98" w:rsidP="00B477F5">
      <w:bookmarkStart w:id="26" w:name="_26in1rg" w:colFirst="0" w:colLast="0"/>
      <w:bookmarkEnd w:id="26"/>
      <w:r w:rsidRPr="004A1A26">
        <w:t>In some cases, government interventions are needed to bring new technol</w:t>
      </w:r>
      <w:r w:rsidR="00F340B7" w:rsidRPr="004A1A26">
        <w:t>ogies</w:t>
      </w:r>
      <w:r w:rsidRPr="004A1A26">
        <w:t xml:space="preserve"> to a given market. Once the technol</w:t>
      </w:r>
      <w:r w:rsidR="00F340B7" w:rsidRPr="004A1A26">
        <w:t>ogy</w:t>
      </w:r>
      <w:r w:rsidRPr="004A1A26">
        <w:t xml:space="preserve"> is introduced to the market and provided </w:t>
      </w:r>
      <w:r w:rsidR="002B0D95" w:rsidRPr="004A1A26">
        <w:t xml:space="preserve">with </w:t>
      </w:r>
      <w:r w:rsidRPr="004A1A26">
        <w:t xml:space="preserve">a foothold, such as through initial subsidies or loans, it </w:t>
      </w:r>
      <w:r w:rsidR="004E090D" w:rsidRPr="004A1A26">
        <w:t xml:space="preserve">should be </w:t>
      </w:r>
      <w:r w:rsidRPr="004A1A26">
        <w:t>able to compete with other technol</w:t>
      </w:r>
      <w:r w:rsidR="00F340B7" w:rsidRPr="004A1A26">
        <w:t>ogies</w:t>
      </w:r>
      <w:r w:rsidRPr="004A1A26">
        <w:t xml:space="preserve"> without government assistance.</w:t>
      </w:r>
      <w:r w:rsidR="00156392">
        <w:t xml:space="preserve"> </w:t>
      </w:r>
      <w:r w:rsidRPr="004A1A26">
        <w:t>The following case study explores how the Government of Kenya helped introduce clean cookstoves and fuels to reduce residential air pollution.</w:t>
      </w:r>
    </w:p>
    <w:p w14:paraId="4F7DFD70" w14:textId="77777777" w:rsidR="00F340B7" w:rsidRPr="004A1A26" w:rsidRDefault="00F32F98" w:rsidP="00375A5D">
      <w:pPr>
        <w:pStyle w:val="Heading4"/>
      </w:pPr>
      <w:bookmarkStart w:id="27" w:name="_Toc500317241"/>
      <w:bookmarkStart w:id="28" w:name="_Toc500317434"/>
      <w:bookmarkStart w:id="29" w:name="_Toc500334332"/>
      <w:bookmarkStart w:id="30" w:name="_Toc500347363"/>
      <w:bookmarkStart w:id="31" w:name="_Toc516842468"/>
      <w:r w:rsidRPr="004A1A26">
        <w:t xml:space="preserve">Case </w:t>
      </w:r>
      <w:r w:rsidR="002B0D95" w:rsidRPr="004A1A26">
        <w:t>s</w:t>
      </w:r>
      <w:r w:rsidRPr="004A1A26">
        <w:t xml:space="preserve">tudy: Improved </w:t>
      </w:r>
      <w:r w:rsidR="002B0D95" w:rsidRPr="004A1A26">
        <w:t>c</w:t>
      </w:r>
      <w:r w:rsidRPr="004A1A26">
        <w:t>ookstoves in Kenya</w:t>
      </w:r>
      <w:bookmarkEnd w:id="27"/>
      <w:bookmarkEnd w:id="28"/>
      <w:bookmarkEnd w:id="29"/>
      <w:bookmarkEnd w:id="30"/>
      <w:bookmarkEnd w:id="31"/>
    </w:p>
    <w:p w14:paraId="2F70890E" w14:textId="74026AAC" w:rsidR="00F340B7" w:rsidRPr="004A1A26" w:rsidRDefault="00F32F98" w:rsidP="00B477F5">
      <w:r w:rsidRPr="004A1A26">
        <w:t xml:space="preserve">Household air pollution from the use of traditional </w:t>
      </w:r>
      <w:r w:rsidR="00195CF7" w:rsidRPr="004A1A26">
        <w:t>fuel</w:t>
      </w:r>
      <w:r w:rsidRPr="004A1A26">
        <w:t xml:space="preserve"> sources (wood, dung and charcoal) for cooking is a leading contributory factor to the global </w:t>
      </w:r>
      <w:r w:rsidR="00156392">
        <w:t xml:space="preserve">burden of </w:t>
      </w:r>
      <w:r w:rsidRPr="004A1A26">
        <w:t xml:space="preserve">disease (Lim </w:t>
      </w:r>
      <w:r w:rsidRPr="004A1A26">
        <w:rPr>
          <w:i/>
        </w:rPr>
        <w:t>et al.</w:t>
      </w:r>
      <w:r w:rsidR="004B2A61">
        <w:rPr>
          <w:i/>
        </w:rPr>
        <w:t xml:space="preserve"> </w:t>
      </w:r>
      <w:r w:rsidR="00F340B7" w:rsidRPr="004A1A26">
        <w:t>2012</w:t>
      </w:r>
      <w:r w:rsidR="00BB1EF3" w:rsidRPr="004A1A26">
        <w:t>;</w:t>
      </w:r>
      <w:r w:rsidR="00156392">
        <w:t xml:space="preserve"> </w:t>
      </w:r>
      <w:r w:rsidR="00BB1EF3" w:rsidRPr="004A1A26">
        <w:t xml:space="preserve">Cepeda </w:t>
      </w:r>
      <w:r w:rsidR="00BB1EF3" w:rsidRPr="004A1A26">
        <w:rPr>
          <w:i/>
        </w:rPr>
        <w:t>et al</w:t>
      </w:r>
      <w:r w:rsidR="00BB1EF3" w:rsidRPr="004A1A26">
        <w:t xml:space="preserve">. </w:t>
      </w:r>
      <w:r w:rsidR="00F340B7" w:rsidRPr="004A1A26">
        <w:t>2017</w:t>
      </w:r>
      <w:r w:rsidR="00BB1EF3" w:rsidRPr="004A1A26">
        <w:t xml:space="preserve">; </w:t>
      </w:r>
      <w:proofErr w:type="spellStart"/>
      <w:r w:rsidR="00BB1EF3" w:rsidRPr="004A1A26">
        <w:t>Landrigan</w:t>
      </w:r>
      <w:proofErr w:type="spellEnd"/>
      <w:r w:rsidR="004B2A61">
        <w:t xml:space="preserve"> </w:t>
      </w:r>
      <w:r w:rsidR="00F340B7" w:rsidRPr="004A1A26">
        <w:t>2017</w:t>
      </w:r>
      <w:r w:rsidR="00DA5924">
        <w:t>, see Section 5.2.4</w:t>
      </w:r>
      <w:r w:rsidRPr="004A1A26">
        <w:t>). A range of chronic illnesses such as cataracts, lung cancer and bronchitis are associated with smoke from cooking</w:t>
      </w:r>
      <w:r w:rsidR="00156392">
        <w:t xml:space="preserve">, </w:t>
      </w:r>
      <w:r w:rsidR="002B0D95" w:rsidRPr="004A1A26">
        <w:t xml:space="preserve">with </w:t>
      </w:r>
      <w:r w:rsidRPr="004A1A26">
        <w:t xml:space="preserve">women and children most affected (Cepeda </w:t>
      </w:r>
      <w:r w:rsidRPr="004A1A26">
        <w:rPr>
          <w:i/>
        </w:rPr>
        <w:t>et al</w:t>
      </w:r>
      <w:r w:rsidRPr="004A1A26">
        <w:t xml:space="preserve">. </w:t>
      </w:r>
      <w:r w:rsidR="00F340B7" w:rsidRPr="004A1A26">
        <w:t>2017</w:t>
      </w:r>
      <w:r w:rsidRPr="004A1A26">
        <w:t>). Beyond this, black carbon (a household air pollutant) has been identified as the second most important anthrop</w:t>
      </w:r>
      <w:r w:rsidR="00F340B7" w:rsidRPr="004A1A26">
        <w:t>ogen</w:t>
      </w:r>
      <w:r w:rsidRPr="004A1A26">
        <w:t xml:space="preserve">ic </w:t>
      </w:r>
      <w:r w:rsidR="00F340B7" w:rsidRPr="004A1A26">
        <w:t>emission</w:t>
      </w:r>
      <w:r w:rsidRPr="004A1A26">
        <w:t xml:space="preserve"> that significantly affects the world</w:t>
      </w:r>
      <w:r w:rsidR="00F340B7" w:rsidRPr="004A1A26">
        <w:t>’</w:t>
      </w:r>
      <w:r w:rsidRPr="004A1A26">
        <w:t xml:space="preserve">s climate (Bond </w:t>
      </w:r>
      <w:r w:rsidRPr="004A1A26">
        <w:rPr>
          <w:i/>
        </w:rPr>
        <w:t>et al</w:t>
      </w:r>
      <w:r w:rsidRPr="004A1A26">
        <w:t xml:space="preserve">. </w:t>
      </w:r>
      <w:r w:rsidR="00F340B7" w:rsidRPr="004A1A26">
        <w:t>2013</w:t>
      </w:r>
      <w:r w:rsidR="002B0D95" w:rsidRPr="004A1A26">
        <w:t>;</w:t>
      </w:r>
      <w:r w:rsidR="00156392">
        <w:t xml:space="preserve"> </w:t>
      </w:r>
      <w:r w:rsidR="00830149" w:rsidRPr="004A1A26">
        <w:t xml:space="preserve">Myhre </w:t>
      </w:r>
      <w:r w:rsidR="00830149" w:rsidRPr="004A1A26">
        <w:rPr>
          <w:i/>
        </w:rPr>
        <w:t>et al</w:t>
      </w:r>
      <w:r w:rsidR="002B0D95" w:rsidRPr="004A1A26">
        <w:rPr>
          <w:i/>
        </w:rPr>
        <w:t>.</w:t>
      </w:r>
      <w:r w:rsidR="004B2A61">
        <w:rPr>
          <w:i/>
        </w:rPr>
        <w:t xml:space="preserve"> </w:t>
      </w:r>
      <w:r w:rsidR="00F340B7" w:rsidRPr="004A1A26">
        <w:t>2013</w:t>
      </w:r>
      <w:r w:rsidR="00D30EBF" w:rsidRPr="004A1A26">
        <w:t>)</w:t>
      </w:r>
      <w:r w:rsidRPr="004A1A26">
        <w:t>.</w:t>
      </w:r>
    </w:p>
    <w:p w14:paraId="0B46AFFC" w14:textId="0740D863" w:rsidR="00F340B7" w:rsidRPr="004A1A26" w:rsidRDefault="00F32F98" w:rsidP="00B477F5">
      <w:r w:rsidRPr="004A1A26">
        <w:t>The adverse effects of the dependence of the developing world on traditional renewable energy for cooking has necessitated the timely intervention by the Global Alliance for Clean Cookstoves (the Alliance), a public</w:t>
      </w:r>
      <w:r w:rsidR="002B0D95" w:rsidRPr="004A1A26">
        <w:t>–</w:t>
      </w:r>
      <w:r w:rsidRPr="004A1A26">
        <w:t xml:space="preserve">private partnership geared towards the creation of a global market for </w:t>
      </w:r>
      <w:r w:rsidR="00195CF7" w:rsidRPr="004A1A26">
        <w:t xml:space="preserve">improved, </w:t>
      </w:r>
      <w:r w:rsidRPr="004A1A26">
        <w:t>clean and efficient household cooking solutions in a bid to reduce the carbon footprint of high</w:t>
      </w:r>
      <w:r w:rsidR="00F340B7" w:rsidRPr="004A1A26">
        <w:t xml:space="preserve">ly </w:t>
      </w:r>
      <w:r w:rsidRPr="004A1A26">
        <w:t xml:space="preserve">polluting traditional stoves. The Alliance was launched in </w:t>
      </w:r>
      <w:r w:rsidR="00F340B7" w:rsidRPr="004A1A26">
        <w:t>2010</w:t>
      </w:r>
      <w:r w:rsidRPr="004A1A26">
        <w:t xml:space="preserve"> with an ambitious 10-year goal to foster the adoption of clean cookstoves and fuels in 100 million households by </w:t>
      </w:r>
      <w:r w:rsidR="00F340B7" w:rsidRPr="004A1A26">
        <w:t>2020</w:t>
      </w:r>
      <w:r w:rsidRPr="004A1A26">
        <w:t xml:space="preserve">. </w:t>
      </w:r>
      <w:r w:rsidR="002B0D95" w:rsidRPr="004A1A26">
        <w:t>It</w:t>
      </w:r>
      <w:r w:rsidRPr="004A1A26">
        <w:t xml:space="preserve"> partnered with </w:t>
      </w:r>
      <w:r w:rsidR="002B0D95" w:rsidRPr="004A1A26">
        <w:t>NGOs</w:t>
      </w:r>
      <w:r w:rsidRPr="004A1A26">
        <w:t>, foundations, women</w:t>
      </w:r>
      <w:r w:rsidR="00F340B7" w:rsidRPr="004A1A26">
        <w:t>’</w:t>
      </w:r>
      <w:r w:rsidRPr="004A1A26">
        <w:t xml:space="preserve">s cooperatives, trade associations, </w:t>
      </w:r>
      <w:r w:rsidR="00F340B7" w:rsidRPr="004A1A26">
        <w:t>academic</w:t>
      </w:r>
      <w:r w:rsidRPr="004A1A26">
        <w:t xml:space="preserve"> institutions</w:t>
      </w:r>
      <w:r w:rsidR="002B0D95" w:rsidRPr="004A1A26">
        <w:t>,</w:t>
      </w:r>
      <w:r w:rsidRPr="004A1A26">
        <w:t xml:space="preserve"> investors</w:t>
      </w:r>
      <w:r w:rsidR="002B0D95" w:rsidRPr="004A1A26">
        <w:t xml:space="preserve"> and</w:t>
      </w:r>
      <w:r w:rsidRPr="004A1A26">
        <w:t xml:space="preserve"> entrepreneurs </w:t>
      </w:r>
      <w:r w:rsidR="00254AEA" w:rsidRPr="004A1A26">
        <w:t xml:space="preserve">to </w:t>
      </w:r>
      <w:r w:rsidRPr="004A1A26">
        <w:t xml:space="preserve">expand markets for clean cookstoves. Given the </w:t>
      </w:r>
      <w:r w:rsidR="00254AEA" w:rsidRPr="004A1A26">
        <w:t xml:space="preserve">extensive </w:t>
      </w:r>
      <w:r w:rsidRPr="004A1A26">
        <w:t xml:space="preserve">use of unprocessed </w:t>
      </w:r>
      <w:r w:rsidR="00F340B7" w:rsidRPr="004A1A26">
        <w:t>fuelwood</w:t>
      </w:r>
      <w:r w:rsidR="00156392">
        <w:t xml:space="preserve"> </w:t>
      </w:r>
      <w:r w:rsidRPr="004A1A26">
        <w:t xml:space="preserve">in rural </w:t>
      </w:r>
      <w:r w:rsidR="00F340B7" w:rsidRPr="004A1A26">
        <w:t>sub-Saharan</w:t>
      </w:r>
      <w:r w:rsidRPr="004A1A26">
        <w:t xml:space="preserve"> Africa</w:t>
      </w:r>
      <w:r w:rsidR="00156392">
        <w:t xml:space="preserve"> </w:t>
      </w:r>
      <w:r w:rsidR="00254AEA" w:rsidRPr="004A1A26">
        <w:t xml:space="preserve">in particular, </w:t>
      </w:r>
      <w:r w:rsidRPr="004A1A26">
        <w:t xml:space="preserve">the Alliance is operational in </w:t>
      </w:r>
      <w:proofErr w:type="gramStart"/>
      <w:r w:rsidRPr="004A1A26">
        <w:t>a number of</w:t>
      </w:r>
      <w:proofErr w:type="gramEnd"/>
      <w:r w:rsidRPr="004A1A26">
        <w:t xml:space="preserve"> countries in this region</w:t>
      </w:r>
      <w:r w:rsidR="00254AEA" w:rsidRPr="004A1A26">
        <w:t>,</w:t>
      </w:r>
      <w:r w:rsidR="00156392">
        <w:t xml:space="preserve"> </w:t>
      </w:r>
      <w:r w:rsidRPr="004A1A26">
        <w:t>including Kenya, where 84</w:t>
      </w:r>
      <w:r w:rsidR="00F340B7" w:rsidRPr="004A1A26">
        <w:t> per cent</w:t>
      </w:r>
      <w:r w:rsidRPr="004A1A26">
        <w:t xml:space="preserve"> of the population use solid fuel for cooking and 16,500 deaths annually have </w:t>
      </w:r>
      <w:r w:rsidRPr="004A1A26">
        <w:lastRenderedPageBreak/>
        <w:t xml:space="preserve">been attributed to exposure to </w:t>
      </w:r>
      <w:r w:rsidR="00195CF7" w:rsidRPr="004A1A26">
        <w:t>indoor air pollutants</w:t>
      </w:r>
      <w:r w:rsidR="00156392">
        <w:t xml:space="preserve"> </w:t>
      </w:r>
      <w:r w:rsidRPr="004A1A26">
        <w:t xml:space="preserve">(Global Alliance for Clean Cookstoves </w:t>
      </w:r>
      <w:r w:rsidR="00F340B7" w:rsidRPr="004A1A26">
        <w:t>201</w:t>
      </w:r>
      <w:r w:rsidR="004B2A61">
        <w:t>2a</w:t>
      </w:r>
      <w:r w:rsidRPr="004A1A26">
        <w:t>).</w:t>
      </w:r>
    </w:p>
    <w:p w14:paraId="31DA1E7B" w14:textId="7A534D9D" w:rsidR="00F340B7" w:rsidRPr="004A1A26" w:rsidRDefault="00F32F98" w:rsidP="00B477F5">
      <w:r w:rsidRPr="004A1A26">
        <w:t>Kenya</w:t>
      </w:r>
      <w:r w:rsidR="00F340B7" w:rsidRPr="004A1A26">
        <w:t>’</w:t>
      </w:r>
      <w:r w:rsidRPr="004A1A26">
        <w:t xml:space="preserve">s </w:t>
      </w:r>
      <w:r w:rsidR="00B50660" w:rsidRPr="004A1A26">
        <w:t>development, marketing and distribution</w:t>
      </w:r>
      <w:r w:rsidR="00156392">
        <w:t xml:space="preserve"> </w:t>
      </w:r>
      <w:r w:rsidR="00254AEA" w:rsidRPr="004A1A26">
        <w:t xml:space="preserve">of clean cookstoves </w:t>
      </w:r>
      <w:r w:rsidRPr="004A1A26">
        <w:t xml:space="preserve">is the most advanced in the </w:t>
      </w:r>
      <w:r w:rsidR="00F340B7" w:rsidRPr="004A1A26">
        <w:t>sub-Saharan</w:t>
      </w:r>
      <w:r w:rsidRPr="004A1A26">
        <w:t xml:space="preserve"> African region, having emerged in the 1980s led by development of the Kenyan Ceramic </w:t>
      </w:r>
      <w:proofErr w:type="spellStart"/>
      <w:r w:rsidRPr="004A1A26">
        <w:t>Jiko</w:t>
      </w:r>
      <w:proofErr w:type="spellEnd"/>
      <w:r w:rsidRPr="004A1A26">
        <w:t xml:space="preserve"> (</w:t>
      </w:r>
      <w:r w:rsidR="001D5604" w:rsidRPr="001D5604">
        <w:t xml:space="preserve">United States Agency for International Development and </w:t>
      </w:r>
      <w:proofErr w:type="spellStart"/>
      <w:r w:rsidR="001D5604" w:rsidRPr="001D5604">
        <w:t>Winrock</w:t>
      </w:r>
      <w:proofErr w:type="spellEnd"/>
      <w:r w:rsidR="001D5604" w:rsidRPr="001D5604">
        <w:t xml:space="preserve"> International</w:t>
      </w:r>
      <w:r w:rsidRPr="004A1A26">
        <w:t xml:space="preserve"> </w:t>
      </w:r>
      <w:r w:rsidR="00F340B7" w:rsidRPr="004A1A26">
        <w:t>2011</w:t>
      </w:r>
      <w:r w:rsidRPr="004A1A26">
        <w:t xml:space="preserve">). Yet </w:t>
      </w:r>
      <w:r w:rsidR="00B50660" w:rsidRPr="004A1A26">
        <w:t xml:space="preserve">by </w:t>
      </w:r>
      <w:r w:rsidR="00F340B7" w:rsidRPr="004A1A26">
        <w:t>2007</w:t>
      </w:r>
      <w:r w:rsidRPr="004A1A26">
        <w:t>, the penetration rate in the Kenyan market for cookstoves was approximately 36</w:t>
      </w:r>
      <w:r w:rsidR="00F340B7" w:rsidRPr="004A1A26">
        <w:t> per cent</w:t>
      </w:r>
      <w:r w:rsidR="00254AEA" w:rsidRPr="004A1A26">
        <w:t>,</w:t>
      </w:r>
      <w:r w:rsidRPr="004A1A26">
        <w:t xml:space="preserve"> and adoption </w:t>
      </w:r>
      <w:r w:rsidR="00254AEA" w:rsidRPr="004A1A26">
        <w:t xml:space="preserve">in rural areas </w:t>
      </w:r>
      <w:r w:rsidRPr="004A1A26">
        <w:t xml:space="preserve">was </w:t>
      </w:r>
      <w:r w:rsidR="00B50660" w:rsidRPr="004A1A26">
        <w:t>quite</w:t>
      </w:r>
      <w:r w:rsidRPr="004A1A26">
        <w:t xml:space="preserve"> low. </w:t>
      </w:r>
      <w:r w:rsidR="00B50660" w:rsidRPr="004A1A26">
        <w:t>Since then</w:t>
      </w:r>
      <w:r w:rsidR="00156392">
        <w:t xml:space="preserve"> </w:t>
      </w:r>
      <w:r w:rsidR="00B50660" w:rsidRPr="004A1A26">
        <w:t>t</w:t>
      </w:r>
      <w:r w:rsidRPr="004A1A26">
        <w:t>he Alliance has made notable inroads in the Kenyan cookstoves market through its partnership with the Clean Cookstoves Association of Kenya (CCAK) to encourage government officials to adopt market incentives</w:t>
      </w:r>
      <w:r w:rsidR="00254AEA" w:rsidRPr="004A1A26">
        <w:t>—</w:t>
      </w:r>
      <w:r w:rsidRPr="004A1A26">
        <w:t>for example</w:t>
      </w:r>
      <w:r w:rsidR="00254AEA" w:rsidRPr="004A1A26">
        <w:t>,</w:t>
      </w:r>
      <w:r w:rsidRPr="004A1A26">
        <w:t xml:space="preserve"> abolishing or minimizing taxes and tariffs that impede the growth of the clean cooking sector. A notable accomplishment was the reduction in the import duty on efficient cookstoves from 25</w:t>
      </w:r>
      <w:r w:rsidR="00F340B7" w:rsidRPr="004A1A26">
        <w:t> per cent</w:t>
      </w:r>
      <w:r w:rsidRPr="004A1A26">
        <w:t xml:space="preserve"> to 10</w:t>
      </w:r>
      <w:r w:rsidR="00F340B7" w:rsidRPr="004A1A26">
        <w:t> per cent</w:t>
      </w:r>
      <w:r w:rsidRPr="004A1A26">
        <w:t xml:space="preserve"> by the Kenyan Government in </w:t>
      </w:r>
      <w:r w:rsidR="00F340B7" w:rsidRPr="004A1A26">
        <w:t>2016</w:t>
      </w:r>
      <w:r w:rsidR="007A3D6E" w:rsidRPr="004A1A26">
        <w:t>. T</w:t>
      </w:r>
      <w:r w:rsidRPr="004A1A26">
        <w:t>he Alliance has also provided grants to boost brand</w:t>
      </w:r>
      <w:r w:rsidR="00254AEA" w:rsidRPr="004A1A26">
        <w:t>-</w:t>
      </w:r>
      <w:r w:rsidRPr="004A1A26">
        <w:t xml:space="preserve">building and marketing efforts and </w:t>
      </w:r>
      <w:r w:rsidR="00254AEA" w:rsidRPr="004A1A26">
        <w:t xml:space="preserve">has </w:t>
      </w:r>
      <w:r w:rsidRPr="004A1A26">
        <w:t xml:space="preserve">supported two women-owned businesses </w:t>
      </w:r>
      <w:r w:rsidR="00254AEA" w:rsidRPr="004A1A26">
        <w:t>through it</w:t>
      </w:r>
      <w:r w:rsidRPr="004A1A26">
        <w:t>s Women</w:t>
      </w:r>
      <w:r w:rsidR="00F340B7" w:rsidRPr="004A1A26">
        <w:t>’</w:t>
      </w:r>
      <w:r w:rsidRPr="004A1A26">
        <w:t>s Empowerment Fund.</w:t>
      </w:r>
    </w:p>
    <w:p w14:paraId="17D0168C" w14:textId="727E67D1" w:rsidR="00F340B7" w:rsidRPr="004A1A26" w:rsidRDefault="00A41281" w:rsidP="00A41281">
      <w:r w:rsidRPr="004A1A26">
        <w:t xml:space="preserve">Carbon financing for clean cookstoves has not only been beneficial to Kenyans but </w:t>
      </w:r>
      <w:r w:rsidR="00254AEA" w:rsidRPr="004A1A26">
        <w:t xml:space="preserve">has </w:t>
      </w:r>
      <w:r w:rsidRPr="004A1A26">
        <w:t xml:space="preserve">also enabled international companies to achieve their </w:t>
      </w:r>
      <w:r w:rsidR="00F340B7" w:rsidRPr="004A1A26">
        <w:t>emission</w:t>
      </w:r>
      <w:r w:rsidR="00254AEA" w:rsidRPr="004A1A26">
        <w:t>s</w:t>
      </w:r>
      <w:r w:rsidRPr="004A1A26">
        <w:t xml:space="preserve"> reduction goals through carbon trading, which allows for carbon credits to be used to comply with </w:t>
      </w:r>
      <w:r w:rsidR="00F340B7" w:rsidRPr="004A1A26">
        <w:t>emission</w:t>
      </w:r>
      <w:r w:rsidR="00254AEA" w:rsidRPr="004A1A26">
        <w:t>s</w:t>
      </w:r>
      <w:r w:rsidRPr="004A1A26">
        <w:t xml:space="preserve"> reduction obligations under cap-and-trade schemes or for voluntary reduction schemes (</w:t>
      </w:r>
      <w:proofErr w:type="spellStart"/>
      <w:r w:rsidRPr="004A1A26">
        <w:t>Lambe</w:t>
      </w:r>
      <w:proofErr w:type="spellEnd"/>
      <w:r w:rsidRPr="004A1A26">
        <w:t xml:space="preserve"> </w:t>
      </w:r>
      <w:r w:rsidRPr="004A1A26">
        <w:rPr>
          <w:i/>
        </w:rPr>
        <w:t>et al.</w:t>
      </w:r>
      <w:r w:rsidR="001D5604">
        <w:rPr>
          <w:i/>
        </w:rPr>
        <w:t xml:space="preserve"> </w:t>
      </w:r>
      <w:r w:rsidR="00F340B7" w:rsidRPr="004A1A26">
        <w:t>2015</w:t>
      </w:r>
      <w:r w:rsidRPr="004A1A26">
        <w:t>).</w:t>
      </w:r>
    </w:p>
    <w:p w14:paraId="24FDC5BD" w14:textId="68D5699B" w:rsidR="00F340B7" w:rsidRPr="004A1A26" w:rsidRDefault="00F32F98" w:rsidP="00B477F5">
      <w:r w:rsidRPr="004A1A26">
        <w:t xml:space="preserve">An evaluation of six types of biomass stove highlighted the need to address key factors that contribute to reducing </w:t>
      </w:r>
      <w:r w:rsidR="00F340B7" w:rsidRPr="004A1A26">
        <w:t>emission</w:t>
      </w:r>
      <w:r w:rsidRPr="004A1A26">
        <w:t>s</w:t>
      </w:r>
      <w:r w:rsidR="00254AEA" w:rsidRPr="004A1A26">
        <w:t>—</w:t>
      </w:r>
      <w:r w:rsidRPr="004A1A26">
        <w:t>namely</w:t>
      </w:r>
      <w:r w:rsidR="00254AEA" w:rsidRPr="004A1A26">
        <w:t>:</w:t>
      </w:r>
      <w:r w:rsidRPr="004A1A26">
        <w:t xml:space="preserve"> the cookstove design and performance</w:t>
      </w:r>
      <w:r w:rsidR="00254AEA" w:rsidRPr="004A1A26">
        <w:t>;</w:t>
      </w:r>
      <w:r w:rsidRPr="004A1A26">
        <w:t xml:space="preserve"> other potential sources of </w:t>
      </w:r>
      <w:r w:rsidR="00F340B7" w:rsidRPr="004A1A26">
        <w:t>emission</w:t>
      </w:r>
      <w:r w:rsidRPr="004A1A26">
        <w:t>s</w:t>
      </w:r>
      <w:r w:rsidR="00254AEA" w:rsidRPr="004A1A26">
        <w:t>;</w:t>
      </w:r>
      <w:r w:rsidR="006E6ED4">
        <w:t xml:space="preserve"> </w:t>
      </w:r>
      <w:r w:rsidR="00254AEA" w:rsidRPr="004A1A26">
        <w:t xml:space="preserve">the </w:t>
      </w:r>
      <w:r w:rsidRPr="004A1A26">
        <w:t>availability and cost of cookstoves</w:t>
      </w:r>
      <w:r w:rsidR="00254AEA" w:rsidRPr="004A1A26">
        <w:t>;</w:t>
      </w:r>
      <w:r w:rsidRPr="004A1A26">
        <w:t xml:space="preserve"> ventilation</w:t>
      </w:r>
      <w:r w:rsidR="00254AEA" w:rsidRPr="004A1A26">
        <w:t>;</w:t>
      </w:r>
      <w:r w:rsidRPr="004A1A26">
        <w:t xml:space="preserve"> and the strategies to ensure </w:t>
      </w:r>
      <w:r w:rsidR="00254AEA" w:rsidRPr="004A1A26">
        <w:t xml:space="preserve">the </w:t>
      </w:r>
      <w:r w:rsidRPr="004A1A26">
        <w:t>adoption and use of clean cookstoves</w:t>
      </w:r>
      <w:r w:rsidR="006E6ED4">
        <w:t xml:space="preserve"> </w:t>
      </w:r>
      <w:r w:rsidR="00B50660" w:rsidRPr="004A1A26">
        <w:t>(</w:t>
      </w:r>
      <w:proofErr w:type="spellStart"/>
      <w:r w:rsidR="00B03AC4" w:rsidRPr="004A1A26">
        <w:t>Pilishvili</w:t>
      </w:r>
      <w:proofErr w:type="spellEnd"/>
      <w:r w:rsidR="00B03AC4" w:rsidRPr="004A1A26">
        <w:t xml:space="preserve"> </w:t>
      </w:r>
      <w:r w:rsidR="00B03AC4" w:rsidRPr="00714DE2">
        <w:rPr>
          <w:i/>
        </w:rPr>
        <w:t>et al</w:t>
      </w:r>
      <w:r w:rsidR="00B03AC4" w:rsidRPr="004A1A26">
        <w:t>. 2016</w:t>
      </w:r>
      <w:r w:rsidR="00B50660" w:rsidRPr="004A1A26">
        <w:t>)</w:t>
      </w:r>
      <w:r w:rsidRPr="004A1A26">
        <w:t xml:space="preserve">. The results of the evaluation showed that the biomass stoves did reduce </w:t>
      </w:r>
      <w:r w:rsidR="00F340B7" w:rsidRPr="004A1A26">
        <w:t>emission</w:t>
      </w:r>
      <w:r w:rsidRPr="004A1A26">
        <w:t xml:space="preserve">s compared with the three-stone traditional stove baseline. However, the reduction in </w:t>
      </w:r>
      <w:r w:rsidR="00F340B7" w:rsidRPr="004A1A26">
        <w:t>emission</w:t>
      </w:r>
      <w:r w:rsidRPr="004A1A26">
        <w:t>s did not reach thresholds where public health benefits could be maximized.</w:t>
      </w:r>
    </w:p>
    <w:p w14:paraId="3697A513" w14:textId="20DF4A71" w:rsidR="006A5DB9" w:rsidRPr="004A1A26" w:rsidRDefault="001D3C74" w:rsidP="001D3C74">
      <w:pPr>
        <w:pStyle w:val="Caption"/>
        <w:rPr>
          <w:lang w:eastAsia="zh-CN"/>
        </w:rPr>
      </w:pPr>
      <w:bookmarkStart w:id="32" w:name="_lnxbz9" w:colFirst="0" w:colLast="0"/>
      <w:bookmarkEnd w:id="32"/>
      <w:r w:rsidRPr="004A1A26">
        <w:t xml:space="preserve">Table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00AA4BDC" w:rsidRPr="004A1A26">
        <w:t>.</w:t>
      </w:r>
      <w:r w:rsidR="00350B00" w:rsidRPr="004A1A26">
        <w:rPr>
          <w:noProof/>
        </w:rPr>
        <w:fldChar w:fldCharType="begin"/>
      </w:r>
      <w:r w:rsidR="00D169A0" w:rsidRPr="004A1A26">
        <w:rPr>
          <w:noProof/>
        </w:rPr>
        <w:instrText xml:space="preserve"> SEQ Table \* ARABIC \s 1 </w:instrText>
      </w:r>
      <w:r w:rsidR="00350B00" w:rsidRPr="004A1A26">
        <w:rPr>
          <w:noProof/>
        </w:rPr>
        <w:fldChar w:fldCharType="separate"/>
      </w:r>
      <w:r w:rsidR="00430786" w:rsidRPr="004A1A26">
        <w:rPr>
          <w:noProof/>
        </w:rPr>
        <w:t>4</w:t>
      </w:r>
      <w:r w:rsidR="00350B00" w:rsidRPr="004A1A26">
        <w:rPr>
          <w:noProof/>
        </w:rPr>
        <w:fldChar w:fldCharType="end"/>
      </w:r>
      <w:r w:rsidRPr="004A1A26">
        <w:t xml:space="preserve">: Summary of </w:t>
      </w:r>
      <w:r w:rsidR="00254AEA" w:rsidRPr="004A1A26">
        <w:t>a</w:t>
      </w:r>
      <w:r w:rsidRPr="004A1A26">
        <w:t xml:space="preserve">ssessment </w:t>
      </w:r>
      <w:r w:rsidR="00254AEA" w:rsidRPr="004A1A26">
        <w:t>c</w:t>
      </w:r>
      <w:r w:rsidRPr="004A1A26">
        <w:t>riteria</w:t>
      </w:r>
      <w:r w:rsidR="00254AEA" w:rsidRPr="004A1A26">
        <w:t>:</w:t>
      </w:r>
      <w:r w:rsidR="00113D17">
        <w:t xml:space="preserve"> </w:t>
      </w:r>
      <w:r w:rsidRPr="004A1A26">
        <w:t xml:space="preserve">Improved </w:t>
      </w:r>
      <w:r w:rsidR="00254AEA" w:rsidRPr="004A1A26">
        <w:t>c</w:t>
      </w:r>
      <w:r w:rsidRPr="004A1A26">
        <w:t>ookstoves in Kenya</w:t>
      </w:r>
    </w:p>
    <w:tbl>
      <w:tblPr>
        <w:tblStyle w:val="GridTable2-Accent1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45"/>
        <w:gridCol w:w="2404"/>
      </w:tblGrid>
      <w:tr w:rsidR="00670B24" w:rsidRPr="004A1A26" w14:paraId="3EA521C7" w14:textId="77777777" w:rsidTr="0000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tcPr>
          <w:p w14:paraId="72A49354" w14:textId="77777777" w:rsidR="00670B24" w:rsidRPr="00113D17" w:rsidRDefault="00670B24" w:rsidP="00113D17">
            <w:pPr>
              <w:pStyle w:val="TableText"/>
              <w:spacing w:before="0" w:after="0" w:line="240" w:lineRule="auto"/>
              <w:rPr>
                <w:sz w:val="20"/>
              </w:rPr>
            </w:pPr>
            <w:r w:rsidRPr="00113D17">
              <w:rPr>
                <w:sz w:val="20"/>
              </w:rPr>
              <w:t>Criterion</w:t>
            </w:r>
          </w:p>
        </w:tc>
        <w:tc>
          <w:tcPr>
            <w:tcW w:w="5245" w:type="dxa"/>
            <w:tcBorders>
              <w:top w:val="single" w:sz="4" w:space="0" w:color="auto"/>
            </w:tcBorders>
          </w:tcPr>
          <w:p w14:paraId="2EB4FE05" w14:textId="77777777" w:rsidR="00670B24" w:rsidRPr="00113D17" w:rsidRDefault="00670B24" w:rsidP="00113D17">
            <w:pPr>
              <w:pStyle w:val="TableText"/>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113D17">
              <w:rPr>
                <w:sz w:val="20"/>
              </w:rPr>
              <w:t>Description</w:t>
            </w:r>
          </w:p>
        </w:tc>
        <w:tc>
          <w:tcPr>
            <w:tcW w:w="2404" w:type="dxa"/>
            <w:tcBorders>
              <w:top w:val="single" w:sz="4" w:space="0" w:color="auto"/>
            </w:tcBorders>
          </w:tcPr>
          <w:p w14:paraId="7081CD12" w14:textId="77777777" w:rsidR="00670B24" w:rsidRPr="00113D17" w:rsidRDefault="00670B24" w:rsidP="00113D17">
            <w:pPr>
              <w:pStyle w:val="TableText"/>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113D17">
              <w:rPr>
                <w:sz w:val="20"/>
              </w:rPr>
              <w:t>Reference</w:t>
            </w:r>
          </w:p>
        </w:tc>
      </w:tr>
      <w:tr w:rsidR="00670B24" w:rsidRPr="004A1A26" w14:paraId="758F3324"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00D9B0B" w14:textId="77777777" w:rsidR="00670B24" w:rsidRPr="00113D17" w:rsidRDefault="00670B24" w:rsidP="00113D17">
            <w:pPr>
              <w:pStyle w:val="TableText"/>
              <w:spacing w:before="0" w:after="0" w:line="240" w:lineRule="auto"/>
              <w:rPr>
                <w:sz w:val="20"/>
              </w:rPr>
            </w:pPr>
            <w:r w:rsidRPr="00113D17">
              <w:rPr>
                <w:sz w:val="20"/>
              </w:rPr>
              <w:t xml:space="preserve">Success or </w:t>
            </w:r>
            <w:r w:rsidR="00254AEA" w:rsidRPr="00113D17">
              <w:rPr>
                <w:sz w:val="20"/>
              </w:rPr>
              <w:t>f</w:t>
            </w:r>
            <w:r w:rsidRPr="00113D17">
              <w:rPr>
                <w:sz w:val="20"/>
              </w:rPr>
              <w:t>ailure</w:t>
            </w:r>
          </w:p>
        </w:tc>
        <w:tc>
          <w:tcPr>
            <w:tcW w:w="5245" w:type="dxa"/>
          </w:tcPr>
          <w:p w14:paraId="0501E757" w14:textId="2811299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Approximately 37</w:t>
            </w:r>
            <w:r w:rsidR="00F340B7" w:rsidRPr="00113D17">
              <w:rPr>
                <w:sz w:val="20"/>
              </w:rPr>
              <w:t> per cent</w:t>
            </w:r>
            <w:r w:rsidR="006E6ED4">
              <w:rPr>
                <w:sz w:val="20"/>
              </w:rPr>
              <w:t xml:space="preserve"> </w:t>
            </w:r>
            <w:r w:rsidR="00325377" w:rsidRPr="00113D17">
              <w:rPr>
                <w:sz w:val="20"/>
              </w:rPr>
              <w:t xml:space="preserve">(3.5 million) </w:t>
            </w:r>
            <w:r w:rsidRPr="00113D17">
              <w:rPr>
                <w:sz w:val="20"/>
              </w:rPr>
              <w:t xml:space="preserve">households use improved biomass </w:t>
            </w:r>
            <w:r w:rsidR="00F340B7" w:rsidRPr="00113D17">
              <w:rPr>
                <w:sz w:val="20"/>
              </w:rPr>
              <w:t>cookstove</w:t>
            </w:r>
            <w:r w:rsidRPr="00113D17">
              <w:rPr>
                <w:sz w:val="20"/>
              </w:rPr>
              <w:t>s (ICS</w:t>
            </w:r>
            <w:r w:rsidR="00A80568" w:rsidRPr="00113D17">
              <w:rPr>
                <w:sz w:val="20"/>
              </w:rPr>
              <w:t>s</w:t>
            </w:r>
            <w:r w:rsidRPr="00113D17">
              <w:rPr>
                <w:sz w:val="20"/>
              </w:rPr>
              <w:t>)</w:t>
            </w:r>
            <w:r w:rsidR="00325377" w:rsidRPr="00113D17">
              <w:rPr>
                <w:sz w:val="20"/>
              </w:rPr>
              <w:t xml:space="preserve">, </w:t>
            </w:r>
            <w:r w:rsidR="00B50660" w:rsidRPr="00113D17">
              <w:rPr>
                <w:sz w:val="20"/>
              </w:rPr>
              <w:t xml:space="preserve">while </w:t>
            </w:r>
            <w:r w:rsidR="00325377" w:rsidRPr="00113D17">
              <w:rPr>
                <w:sz w:val="20"/>
              </w:rPr>
              <w:t>over 50</w:t>
            </w:r>
            <w:r w:rsidR="00F340B7" w:rsidRPr="00113D17">
              <w:rPr>
                <w:sz w:val="20"/>
              </w:rPr>
              <w:t> per cent</w:t>
            </w:r>
            <w:r w:rsidR="00325377" w:rsidRPr="00113D17">
              <w:rPr>
                <w:sz w:val="20"/>
              </w:rPr>
              <w:t xml:space="preserve"> (</w:t>
            </w:r>
            <w:r w:rsidRPr="00113D17">
              <w:rPr>
                <w:sz w:val="20"/>
              </w:rPr>
              <w:t>approx</w:t>
            </w:r>
            <w:r w:rsidR="00325377" w:rsidRPr="00113D17">
              <w:rPr>
                <w:sz w:val="20"/>
              </w:rPr>
              <w:t>imately</w:t>
            </w:r>
            <w:r w:rsidRPr="00113D17">
              <w:rPr>
                <w:sz w:val="20"/>
              </w:rPr>
              <w:t xml:space="preserve"> 5 million</w:t>
            </w:r>
            <w:r w:rsidR="00325377" w:rsidRPr="00113D17">
              <w:rPr>
                <w:sz w:val="20"/>
              </w:rPr>
              <w:t>)</w:t>
            </w:r>
            <w:r w:rsidRPr="00113D17">
              <w:rPr>
                <w:sz w:val="20"/>
              </w:rPr>
              <w:t xml:space="preserve"> households still use traditional biomass </w:t>
            </w:r>
            <w:r w:rsidR="00F340B7" w:rsidRPr="00113D17">
              <w:rPr>
                <w:sz w:val="20"/>
              </w:rPr>
              <w:t>cookstove</w:t>
            </w:r>
            <w:r w:rsidRPr="00113D17">
              <w:rPr>
                <w:sz w:val="20"/>
              </w:rPr>
              <w:t>s</w:t>
            </w:r>
            <w:r w:rsidR="00325377" w:rsidRPr="00113D17">
              <w:rPr>
                <w:sz w:val="20"/>
              </w:rPr>
              <w:t>.</w:t>
            </w:r>
            <w:r w:rsidR="006E6ED4">
              <w:rPr>
                <w:sz w:val="20"/>
              </w:rPr>
              <w:t xml:space="preserve"> </w:t>
            </w:r>
            <w:r w:rsidR="00A80568" w:rsidRPr="00113D17">
              <w:rPr>
                <w:sz w:val="20"/>
              </w:rPr>
              <w:t xml:space="preserve">Between </w:t>
            </w:r>
            <w:r w:rsidRPr="00113D17">
              <w:rPr>
                <w:sz w:val="20"/>
              </w:rPr>
              <w:t>240,000</w:t>
            </w:r>
            <w:r w:rsidR="00A80568" w:rsidRPr="00113D17">
              <w:rPr>
                <w:sz w:val="20"/>
              </w:rPr>
              <w:t>and</w:t>
            </w:r>
            <w:r w:rsidR="006E6ED4">
              <w:rPr>
                <w:sz w:val="20"/>
              </w:rPr>
              <w:t xml:space="preserve"> </w:t>
            </w:r>
            <w:r w:rsidRPr="00113D17">
              <w:rPr>
                <w:sz w:val="20"/>
              </w:rPr>
              <w:t xml:space="preserve">300,000 </w:t>
            </w:r>
            <w:r w:rsidR="00325377" w:rsidRPr="00113D17">
              <w:rPr>
                <w:sz w:val="20"/>
              </w:rPr>
              <w:t>ICS</w:t>
            </w:r>
            <w:r w:rsidR="00A80568" w:rsidRPr="00113D17">
              <w:rPr>
                <w:sz w:val="20"/>
              </w:rPr>
              <w:t>s</w:t>
            </w:r>
            <w:r w:rsidR="00325377" w:rsidRPr="00113D17">
              <w:rPr>
                <w:sz w:val="20"/>
              </w:rPr>
              <w:t xml:space="preserve"> are sold to new customers annually. </w:t>
            </w:r>
            <w:r w:rsidR="00A80568" w:rsidRPr="00113D17">
              <w:rPr>
                <w:sz w:val="20"/>
              </w:rPr>
              <w:t xml:space="preserve">The </w:t>
            </w:r>
            <w:r w:rsidR="00325377" w:rsidRPr="00113D17">
              <w:rPr>
                <w:sz w:val="20"/>
              </w:rPr>
              <w:t>Kenya</w:t>
            </w:r>
            <w:r w:rsidR="00B50660" w:rsidRPr="00113D17">
              <w:rPr>
                <w:sz w:val="20"/>
              </w:rPr>
              <w:t>n</w:t>
            </w:r>
            <w:r w:rsidR="006E6ED4">
              <w:rPr>
                <w:sz w:val="20"/>
              </w:rPr>
              <w:t xml:space="preserve"> </w:t>
            </w:r>
            <w:r w:rsidR="00A80568" w:rsidRPr="00113D17">
              <w:rPr>
                <w:sz w:val="20"/>
              </w:rPr>
              <w:t>G</w:t>
            </w:r>
            <w:r w:rsidR="00325377" w:rsidRPr="00113D17">
              <w:rPr>
                <w:sz w:val="20"/>
              </w:rPr>
              <w:t xml:space="preserve">overnment aims </w:t>
            </w:r>
            <w:r w:rsidR="00A80568" w:rsidRPr="00113D17">
              <w:rPr>
                <w:sz w:val="20"/>
              </w:rPr>
              <w:t>to</w:t>
            </w:r>
            <w:r w:rsidR="00325377" w:rsidRPr="00113D17">
              <w:rPr>
                <w:sz w:val="20"/>
              </w:rPr>
              <w:t xml:space="preserve"> achiev</w:t>
            </w:r>
            <w:r w:rsidR="00A80568" w:rsidRPr="00113D17">
              <w:rPr>
                <w:sz w:val="20"/>
              </w:rPr>
              <w:t>e</w:t>
            </w:r>
            <w:r w:rsidR="00325377" w:rsidRPr="00113D17">
              <w:rPr>
                <w:sz w:val="20"/>
              </w:rPr>
              <w:t xml:space="preserve"> 50</w:t>
            </w:r>
            <w:r w:rsidR="00F340B7" w:rsidRPr="00113D17">
              <w:rPr>
                <w:sz w:val="20"/>
              </w:rPr>
              <w:t> per cent</w:t>
            </w:r>
            <w:r w:rsidR="00325377" w:rsidRPr="00113D17">
              <w:rPr>
                <w:sz w:val="20"/>
              </w:rPr>
              <w:t xml:space="preserve"> of abatement potential (i.e. approx. 2.6 MtCO</w:t>
            </w:r>
            <w:r w:rsidR="00325377" w:rsidRPr="00113D17">
              <w:rPr>
                <w:sz w:val="20"/>
                <w:vertAlign w:val="subscript"/>
              </w:rPr>
              <w:t>2</w:t>
            </w:r>
            <w:r w:rsidR="00325377" w:rsidRPr="00113D17">
              <w:rPr>
                <w:sz w:val="20"/>
              </w:rPr>
              <w:t xml:space="preserve">e) by </w:t>
            </w:r>
            <w:r w:rsidR="00F340B7" w:rsidRPr="00113D17">
              <w:rPr>
                <w:sz w:val="20"/>
              </w:rPr>
              <w:t>2030</w:t>
            </w:r>
            <w:r w:rsidR="00325377" w:rsidRPr="00113D17">
              <w:rPr>
                <w:sz w:val="20"/>
              </w:rPr>
              <w:t>.</w:t>
            </w:r>
          </w:p>
        </w:tc>
        <w:tc>
          <w:tcPr>
            <w:tcW w:w="2404" w:type="dxa"/>
          </w:tcPr>
          <w:p w14:paraId="3514AF20" w14:textId="3E297EE7" w:rsidR="00670B24" w:rsidRPr="00113D17" w:rsidRDefault="00714DE2" w:rsidP="00F1481E">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rFonts w:ascii="Segoe UI" w:eastAsia="MS Mincho" w:hAnsi="Segoe UI" w:cs="Segoe UI"/>
                <w:sz w:val="18"/>
                <w:szCs w:val="18"/>
                <w:lang w:val="en-US"/>
              </w:rPr>
              <w:t xml:space="preserve">Kenya, Ministry of Energy and Petroleum and Sustainable Energy for All 2016; </w:t>
            </w:r>
            <w:r w:rsidRPr="00714DE2">
              <w:rPr>
                <w:sz w:val="20"/>
              </w:rPr>
              <w:t>Ken</w:t>
            </w:r>
            <w:r>
              <w:rPr>
                <w:sz w:val="20"/>
              </w:rPr>
              <w:t>ya, Ministry of Environment and</w:t>
            </w:r>
            <w:r w:rsidRPr="00714DE2">
              <w:rPr>
                <w:sz w:val="20"/>
              </w:rPr>
              <w:t xml:space="preserve"> Natural Resources</w:t>
            </w:r>
            <w:r>
              <w:rPr>
                <w:sz w:val="20"/>
              </w:rPr>
              <w:t xml:space="preserve"> </w:t>
            </w:r>
            <w:r w:rsidR="00EE3D03" w:rsidRPr="00113D17">
              <w:rPr>
                <w:sz w:val="20"/>
              </w:rPr>
              <w:t>201</w:t>
            </w:r>
            <w:r>
              <w:rPr>
                <w:sz w:val="20"/>
              </w:rPr>
              <w:t>7</w:t>
            </w:r>
          </w:p>
        </w:tc>
      </w:tr>
      <w:tr w:rsidR="00670B24" w:rsidRPr="004A1A26" w14:paraId="4403F78B"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11A9E816" w14:textId="77777777" w:rsidR="00670B24" w:rsidRPr="00113D17" w:rsidRDefault="00670B24" w:rsidP="00113D17">
            <w:pPr>
              <w:pStyle w:val="TableText"/>
              <w:spacing w:before="0" w:after="0" w:line="240" w:lineRule="auto"/>
              <w:rPr>
                <w:sz w:val="20"/>
              </w:rPr>
            </w:pPr>
            <w:r w:rsidRPr="00113D17">
              <w:rPr>
                <w:sz w:val="20"/>
              </w:rPr>
              <w:t xml:space="preserve">Independence of </w:t>
            </w:r>
            <w:r w:rsidR="00254AEA" w:rsidRPr="00113D17">
              <w:rPr>
                <w:sz w:val="20"/>
              </w:rPr>
              <w:t>e</w:t>
            </w:r>
            <w:r w:rsidRPr="00113D17">
              <w:rPr>
                <w:sz w:val="20"/>
              </w:rPr>
              <w:t>valuation</w:t>
            </w:r>
          </w:p>
        </w:tc>
        <w:tc>
          <w:tcPr>
            <w:tcW w:w="5245" w:type="dxa"/>
          </w:tcPr>
          <w:p w14:paraId="3E395F25"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Green Climate Fund, a </w:t>
            </w:r>
            <w:r w:rsidR="00A80568" w:rsidRPr="00113D17">
              <w:rPr>
                <w:sz w:val="20"/>
              </w:rPr>
              <w:t xml:space="preserve">UNFCCC </w:t>
            </w:r>
            <w:r w:rsidRPr="00113D17">
              <w:rPr>
                <w:sz w:val="20"/>
              </w:rPr>
              <w:t>funding mechanism</w:t>
            </w:r>
          </w:p>
        </w:tc>
        <w:tc>
          <w:tcPr>
            <w:tcW w:w="2404" w:type="dxa"/>
          </w:tcPr>
          <w:p w14:paraId="3A03EF66"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670B24" w:rsidRPr="004A1A26" w14:paraId="7871B3C5"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73C6104" w14:textId="77777777" w:rsidR="00670B24" w:rsidRPr="00113D17" w:rsidRDefault="00670B24" w:rsidP="00113D17">
            <w:pPr>
              <w:pStyle w:val="TableText"/>
              <w:spacing w:before="0" w:after="0" w:line="240" w:lineRule="auto"/>
              <w:rPr>
                <w:sz w:val="20"/>
              </w:rPr>
            </w:pPr>
            <w:r w:rsidRPr="00113D17">
              <w:rPr>
                <w:sz w:val="20"/>
              </w:rPr>
              <w:t xml:space="preserve">Key </w:t>
            </w:r>
            <w:r w:rsidR="00254AEA" w:rsidRPr="00113D17">
              <w:rPr>
                <w:sz w:val="20"/>
              </w:rPr>
              <w:t>a</w:t>
            </w:r>
            <w:r w:rsidRPr="00113D17">
              <w:rPr>
                <w:sz w:val="20"/>
              </w:rPr>
              <w:t>ctors</w:t>
            </w:r>
          </w:p>
        </w:tc>
        <w:tc>
          <w:tcPr>
            <w:tcW w:w="5245" w:type="dxa"/>
          </w:tcPr>
          <w:p w14:paraId="1262C846" w14:textId="7777777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rFonts w:eastAsia="CIDFont+F2"/>
                <w:sz w:val="20"/>
              </w:rPr>
            </w:pPr>
            <w:r w:rsidRPr="00113D17">
              <w:rPr>
                <w:sz w:val="20"/>
              </w:rPr>
              <w:t>Over 80</w:t>
            </w:r>
            <w:r w:rsidR="00F340B7" w:rsidRPr="00113D17">
              <w:rPr>
                <w:sz w:val="20"/>
              </w:rPr>
              <w:t> per cent</w:t>
            </w:r>
            <w:r w:rsidRPr="00113D17">
              <w:rPr>
                <w:sz w:val="20"/>
              </w:rPr>
              <w:t xml:space="preserve"> of the market share for biomass ICS</w:t>
            </w:r>
            <w:r w:rsidR="00A80568" w:rsidRPr="00113D17">
              <w:rPr>
                <w:sz w:val="20"/>
              </w:rPr>
              <w:t>s</w:t>
            </w:r>
            <w:r w:rsidRPr="00113D17">
              <w:rPr>
                <w:sz w:val="20"/>
              </w:rPr>
              <w:t xml:space="preserve"> is dominated by artisanal fabricated stoves.</w:t>
            </w:r>
          </w:p>
        </w:tc>
        <w:tc>
          <w:tcPr>
            <w:tcW w:w="2404" w:type="dxa"/>
          </w:tcPr>
          <w:p w14:paraId="72A9D588" w14:textId="296F977A" w:rsidR="00670B24" w:rsidRPr="00113D17" w:rsidRDefault="00714DE2"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714DE2">
              <w:rPr>
                <w:sz w:val="20"/>
              </w:rPr>
              <w:t xml:space="preserve">Green Climate </w:t>
            </w:r>
            <w:proofErr w:type="gramStart"/>
            <w:r w:rsidRPr="00714DE2">
              <w:rPr>
                <w:sz w:val="20"/>
              </w:rPr>
              <w:t>Fund</w:t>
            </w:r>
            <w:r w:rsidRPr="00714DE2" w:rsidDel="00714DE2">
              <w:rPr>
                <w:sz w:val="20"/>
              </w:rPr>
              <w:t xml:space="preserve"> </w:t>
            </w:r>
            <w:r>
              <w:rPr>
                <w:sz w:val="20"/>
              </w:rPr>
              <w:t xml:space="preserve"> </w:t>
            </w:r>
            <w:r w:rsidR="00F340B7" w:rsidRPr="00113D17">
              <w:rPr>
                <w:sz w:val="20"/>
              </w:rPr>
              <w:t>2018</w:t>
            </w:r>
            <w:proofErr w:type="gramEnd"/>
          </w:p>
        </w:tc>
      </w:tr>
      <w:tr w:rsidR="00670B24" w:rsidRPr="004A1A26" w14:paraId="4D2D1B17"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3D0A8607" w14:textId="77777777" w:rsidR="00670B24" w:rsidRPr="00113D17" w:rsidRDefault="00670B24" w:rsidP="00113D17">
            <w:pPr>
              <w:pStyle w:val="TableText"/>
              <w:spacing w:before="0" w:after="0" w:line="240" w:lineRule="auto"/>
              <w:rPr>
                <w:sz w:val="20"/>
              </w:rPr>
            </w:pPr>
            <w:r w:rsidRPr="00113D17">
              <w:rPr>
                <w:sz w:val="20"/>
              </w:rPr>
              <w:lastRenderedPageBreak/>
              <w:t>Baseline</w:t>
            </w:r>
          </w:p>
        </w:tc>
        <w:tc>
          <w:tcPr>
            <w:tcW w:w="5245" w:type="dxa"/>
          </w:tcPr>
          <w:p w14:paraId="57C47EF4" w14:textId="77777777" w:rsidR="00670B24" w:rsidRPr="00113D17" w:rsidRDefault="00A80568"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The p</w:t>
            </w:r>
            <w:r w:rsidR="00670B24" w:rsidRPr="00113D17">
              <w:rPr>
                <w:sz w:val="20"/>
              </w:rPr>
              <w:t xml:space="preserve">roject started in </w:t>
            </w:r>
            <w:r w:rsidR="00F340B7" w:rsidRPr="00113D17">
              <w:rPr>
                <w:sz w:val="20"/>
              </w:rPr>
              <w:t>2010</w:t>
            </w:r>
            <w:r w:rsidRPr="00113D17">
              <w:rPr>
                <w:sz w:val="20"/>
              </w:rPr>
              <w:t>,</w:t>
            </w:r>
            <w:r w:rsidR="00670B24" w:rsidRPr="00113D17">
              <w:rPr>
                <w:sz w:val="20"/>
              </w:rPr>
              <w:t xml:space="preserve"> and by April </w:t>
            </w:r>
            <w:r w:rsidR="00F340B7" w:rsidRPr="00113D17">
              <w:rPr>
                <w:sz w:val="20"/>
              </w:rPr>
              <w:t>2016</w:t>
            </w:r>
            <w:r w:rsidR="00670B24" w:rsidRPr="00113D17">
              <w:rPr>
                <w:sz w:val="20"/>
              </w:rPr>
              <w:t xml:space="preserve"> the </w:t>
            </w:r>
            <w:r w:rsidRPr="00113D17">
              <w:rPr>
                <w:sz w:val="20"/>
              </w:rPr>
              <w:t>Global Alliance for Clean Cookstoves</w:t>
            </w:r>
            <w:r w:rsidR="00670B24" w:rsidRPr="00113D17">
              <w:rPr>
                <w:sz w:val="20"/>
              </w:rPr>
              <w:t xml:space="preserve"> project had sold approximately 251,000 cookstoves across Kenya</w:t>
            </w:r>
            <w:r w:rsidRPr="00113D17">
              <w:rPr>
                <w:sz w:val="20"/>
              </w:rPr>
              <w:t>.</w:t>
            </w:r>
          </w:p>
        </w:tc>
        <w:tc>
          <w:tcPr>
            <w:tcW w:w="2404" w:type="dxa"/>
          </w:tcPr>
          <w:p w14:paraId="28472A43" w14:textId="77777777" w:rsidR="00670B24" w:rsidRPr="00113D17" w:rsidRDefault="0050468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Natural Capital Partners </w:t>
            </w:r>
            <w:r w:rsidR="00F340B7" w:rsidRPr="00113D17">
              <w:rPr>
                <w:sz w:val="20"/>
              </w:rPr>
              <w:t>2018</w:t>
            </w:r>
          </w:p>
        </w:tc>
      </w:tr>
      <w:tr w:rsidR="00670B24" w:rsidRPr="004A1A26" w14:paraId="245079A5"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6751786" w14:textId="77777777" w:rsidR="00670B24" w:rsidRPr="00113D17" w:rsidRDefault="00670B24" w:rsidP="00113D17">
            <w:pPr>
              <w:pStyle w:val="TableText"/>
              <w:spacing w:before="0" w:after="0" w:line="240" w:lineRule="auto"/>
              <w:rPr>
                <w:sz w:val="20"/>
              </w:rPr>
            </w:pPr>
            <w:r w:rsidRPr="00113D17">
              <w:rPr>
                <w:sz w:val="20"/>
              </w:rPr>
              <w:t>Timeframe</w:t>
            </w:r>
          </w:p>
        </w:tc>
        <w:tc>
          <w:tcPr>
            <w:tcW w:w="5245" w:type="dxa"/>
          </w:tcPr>
          <w:p w14:paraId="6514452C" w14:textId="7777777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GHG </w:t>
            </w:r>
            <w:r w:rsidR="00F340B7" w:rsidRPr="00113D17">
              <w:rPr>
                <w:sz w:val="20"/>
              </w:rPr>
              <w:t>emission</w:t>
            </w:r>
            <w:r w:rsidRPr="00113D17">
              <w:rPr>
                <w:sz w:val="20"/>
              </w:rPr>
              <w:t>s mitigation objective of 30</w:t>
            </w:r>
            <w:r w:rsidR="00F340B7" w:rsidRPr="00113D17">
              <w:rPr>
                <w:sz w:val="20"/>
              </w:rPr>
              <w:t> per cent</w:t>
            </w:r>
            <w:r w:rsidRPr="00113D17">
              <w:rPr>
                <w:sz w:val="20"/>
              </w:rPr>
              <w:t xml:space="preserve"> by </w:t>
            </w:r>
            <w:r w:rsidR="00F340B7" w:rsidRPr="00113D17">
              <w:rPr>
                <w:sz w:val="20"/>
              </w:rPr>
              <w:t>2030</w:t>
            </w:r>
            <w:r w:rsidRPr="00113D17">
              <w:rPr>
                <w:sz w:val="20"/>
              </w:rPr>
              <w:t xml:space="preserve"> in relation to the </w:t>
            </w:r>
            <w:r w:rsidR="00A80568" w:rsidRPr="00113D17">
              <w:rPr>
                <w:sz w:val="20"/>
              </w:rPr>
              <w:t>business-as-usual (</w:t>
            </w:r>
            <w:r w:rsidRPr="00113D17">
              <w:rPr>
                <w:sz w:val="20"/>
              </w:rPr>
              <w:t>BAU</w:t>
            </w:r>
            <w:r w:rsidR="00A80568" w:rsidRPr="00113D17">
              <w:rPr>
                <w:sz w:val="20"/>
              </w:rPr>
              <w:t>)</w:t>
            </w:r>
            <w:r w:rsidRPr="00113D17">
              <w:rPr>
                <w:sz w:val="20"/>
              </w:rPr>
              <w:t xml:space="preserve"> scenario of 143 MtCO</w:t>
            </w:r>
            <w:r w:rsidRPr="00113D17">
              <w:rPr>
                <w:sz w:val="20"/>
                <w:vertAlign w:val="subscript"/>
              </w:rPr>
              <w:t>2</w:t>
            </w:r>
            <w:r w:rsidRPr="00113D17">
              <w:rPr>
                <w:sz w:val="20"/>
              </w:rPr>
              <w:t xml:space="preserve">e. Of this, ICS interventions are considered to have an abatement potential in </w:t>
            </w:r>
            <w:r w:rsidR="00F340B7" w:rsidRPr="00113D17">
              <w:rPr>
                <w:sz w:val="20"/>
              </w:rPr>
              <w:t>2030</w:t>
            </w:r>
            <w:r w:rsidRPr="00113D17">
              <w:rPr>
                <w:sz w:val="20"/>
              </w:rPr>
              <w:t xml:space="preserve"> of 5.6 Mt CO</w:t>
            </w:r>
            <w:r w:rsidRPr="00113D17">
              <w:rPr>
                <w:sz w:val="20"/>
                <w:vertAlign w:val="subscript"/>
              </w:rPr>
              <w:t>2</w:t>
            </w:r>
            <w:r w:rsidRPr="00113D17">
              <w:rPr>
                <w:sz w:val="20"/>
              </w:rPr>
              <w:t xml:space="preserve">e. </w:t>
            </w:r>
          </w:p>
        </w:tc>
        <w:tc>
          <w:tcPr>
            <w:tcW w:w="2404" w:type="dxa"/>
          </w:tcPr>
          <w:p w14:paraId="55AE8C7D" w14:textId="585DF213" w:rsidR="00670B24" w:rsidRPr="006E6ED4" w:rsidRDefault="00BC6BD1"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rFonts w:eastAsia="Cambria" w:cs="Segoe UI"/>
                <w:sz w:val="20"/>
              </w:rPr>
            </w:pPr>
            <w:r w:rsidRPr="006E6ED4">
              <w:rPr>
                <w:rFonts w:eastAsia="Cambria" w:cs="Segoe UI"/>
                <w:sz w:val="20"/>
              </w:rPr>
              <w:t>Global Alliance for Clean Cookstoves</w:t>
            </w:r>
            <w:r w:rsidR="00F340B7" w:rsidRPr="006E6ED4">
              <w:rPr>
                <w:rFonts w:eastAsia="Cambria" w:cs="Segoe UI"/>
                <w:sz w:val="20"/>
              </w:rPr>
              <w:t>2014</w:t>
            </w:r>
            <w:r w:rsidR="00D965EF" w:rsidRPr="006E6ED4">
              <w:rPr>
                <w:rFonts w:eastAsia="Cambria" w:cs="Segoe UI"/>
                <w:sz w:val="20"/>
              </w:rPr>
              <w:t xml:space="preserve">: </w:t>
            </w:r>
            <w:r w:rsidR="00714DE2" w:rsidRPr="00714DE2">
              <w:rPr>
                <w:sz w:val="20"/>
              </w:rPr>
              <w:t xml:space="preserve">Green Climate </w:t>
            </w:r>
            <w:proofErr w:type="gramStart"/>
            <w:r w:rsidR="00714DE2" w:rsidRPr="00714DE2">
              <w:rPr>
                <w:sz w:val="20"/>
              </w:rPr>
              <w:t>Fund</w:t>
            </w:r>
            <w:r w:rsidR="00714DE2" w:rsidRPr="00714DE2" w:rsidDel="00714DE2">
              <w:rPr>
                <w:sz w:val="20"/>
              </w:rPr>
              <w:t xml:space="preserve"> </w:t>
            </w:r>
            <w:r w:rsidR="00714DE2">
              <w:rPr>
                <w:sz w:val="20"/>
              </w:rPr>
              <w:t xml:space="preserve"> </w:t>
            </w:r>
            <w:r w:rsidR="00F340B7" w:rsidRPr="006E6ED4">
              <w:rPr>
                <w:sz w:val="20"/>
              </w:rPr>
              <w:t>2018</w:t>
            </w:r>
            <w:proofErr w:type="gramEnd"/>
          </w:p>
        </w:tc>
      </w:tr>
      <w:tr w:rsidR="00670B24" w:rsidRPr="004A1A26" w14:paraId="51EFBD46"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3E576770" w14:textId="77777777" w:rsidR="00670B24" w:rsidRPr="00113D17" w:rsidRDefault="00670B24" w:rsidP="00113D17">
            <w:pPr>
              <w:pStyle w:val="TableText"/>
              <w:spacing w:before="0" w:after="0" w:line="240" w:lineRule="auto"/>
              <w:rPr>
                <w:sz w:val="20"/>
              </w:rPr>
            </w:pPr>
            <w:r w:rsidRPr="00113D17">
              <w:rPr>
                <w:sz w:val="20"/>
              </w:rPr>
              <w:t>Constraining factors</w:t>
            </w:r>
          </w:p>
        </w:tc>
        <w:tc>
          <w:tcPr>
            <w:tcW w:w="5245" w:type="dxa"/>
          </w:tcPr>
          <w:p w14:paraId="3A280BE1" w14:textId="0DFA416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Underdeveloped ICS supply chain; communities that collect wood for free; costs and risks associated with investment to cover remote rural areas; weak consumer awareness; </w:t>
            </w:r>
            <w:r w:rsidRPr="00113D17">
              <w:rPr>
                <w:rFonts w:eastAsia="Calibri"/>
                <w:sz w:val="20"/>
              </w:rPr>
              <w:t>regulatory constraints (i.e. import duties, taxes</w:t>
            </w:r>
            <w:r w:rsidR="00325377" w:rsidRPr="00113D17">
              <w:rPr>
                <w:rFonts w:eastAsia="Calibri"/>
                <w:sz w:val="20"/>
              </w:rPr>
              <w:t xml:space="preserve"> and poorly targeted subsidies)</w:t>
            </w:r>
            <w:r w:rsidRPr="00113D17">
              <w:rPr>
                <w:rFonts w:eastAsia="Calibri"/>
                <w:sz w:val="20"/>
              </w:rPr>
              <w:t>; limited product testing capacity to enforce stand</w:t>
            </w:r>
            <w:r w:rsidR="00325377" w:rsidRPr="00113D17">
              <w:rPr>
                <w:rFonts w:eastAsia="Calibri"/>
                <w:sz w:val="20"/>
              </w:rPr>
              <w:t>ards</w:t>
            </w:r>
            <w:r w:rsidR="00A80568" w:rsidRPr="00113D17">
              <w:rPr>
                <w:rFonts w:eastAsia="Calibri"/>
                <w:sz w:val="20"/>
              </w:rPr>
              <w:t>;</w:t>
            </w:r>
            <w:r w:rsidRPr="00113D17">
              <w:rPr>
                <w:rFonts w:eastAsia="Calibri"/>
                <w:sz w:val="20"/>
              </w:rPr>
              <w:t xml:space="preserve"> and</w:t>
            </w:r>
            <w:r w:rsidR="006E6ED4">
              <w:rPr>
                <w:rFonts w:eastAsia="Calibri"/>
                <w:sz w:val="20"/>
              </w:rPr>
              <w:t xml:space="preserve"> </w:t>
            </w:r>
            <w:r w:rsidRPr="00113D17">
              <w:rPr>
                <w:rFonts w:eastAsia="Calibri"/>
                <w:sz w:val="20"/>
              </w:rPr>
              <w:t>insufficient investment into product improvement</w:t>
            </w:r>
          </w:p>
        </w:tc>
        <w:tc>
          <w:tcPr>
            <w:tcW w:w="2404" w:type="dxa"/>
          </w:tcPr>
          <w:p w14:paraId="2D5C8890" w14:textId="271C9E77" w:rsidR="00670B24" w:rsidRPr="00113D17" w:rsidRDefault="00D965EF"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Global Alliance for Clean Cookstoves </w:t>
            </w:r>
            <w:r w:rsidR="00F340B7" w:rsidRPr="00113D17">
              <w:rPr>
                <w:sz w:val="20"/>
              </w:rPr>
              <w:t>2012</w:t>
            </w:r>
            <w:r w:rsidR="004B2A61">
              <w:rPr>
                <w:sz w:val="20"/>
              </w:rPr>
              <w:t>b</w:t>
            </w:r>
            <w:r w:rsidRPr="00113D17">
              <w:rPr>
                <w:sz w:val="20"/>
              </w:rPr>
              <w:t xml:space="preserve">; </w:t>
            </w:r>
            <w:r w:rsidR="00714DE2" w:rsidRPr="00714DE2">
              <w:rPr>
                <w:rFonts w:cstheme="minorHAnsi"/>
                <w:sz w:val="20"/>
              </w:rPr>
              <w:t>Green Climate Fund</w:t>
            </w:r>
            <w:r w:rsidR="00714DE2">
              <w:rPr>
                <w:rFonts w:cstheme="minorHAnsi"/>
                <w:sz w:val="20"/>
              </w:rPr>
              <w:t xml:space="preserve"> </w:t>
            </w:r>
            <w:r w:rsidR="00F340B7" w:rsidRPr="00113D17">
              <w:rPr>
                <w:rFonts w:cstheme="minorHAnsi"/>
                <w:sz w:val="20"/>
              </w:rPr>
              <w:t>2018</w:t>
            </w:r>
            <w:hyperlink r:id="rId12" w:history="1"/>
          </w:p>
        </w:tc>
      </w:tr>
      <w:tr w:rsidR="00670B24" w:rsidRPr="004A1A26" w14:paraId="6C1766E6"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53D12C6" w14:textId="77777777" w:rsidR="00670B24" w:rsidRPr="00113D17" w:rsidRDefault="00670B24" w:rsidP="00113D17">
            <w:pPr>
              <w:pStyle w:val="TableText"/>
              <w:spacing w:before="0" w:after="0" w:line="240" w:lineRule="auto"/>
              <w:rPr>
                <w:sz w:val="20"/>
              </w:rPr>
            </w:pPr>
            <w:r w:rsidRPr="00113D17">
              <w:rPr>
                <w:sz w:val="20"/>
              </w:rPr>
              <w:t xml:space="preserve">Enabling factors </w:t>
            </w:r>
          </w:p>
        </w:tc>
        <w:tc>
          <w:tcPr>
            <w:tcW w:w="5245" w:type="dxa"/>
          </w:tcPr>
          <w:p w14:paraId="430628CB" w14:textId="7777777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Kenya removed the 16</w:t>
            </w:r>
            <w:r w:rsidR="00F340B7" w:rsidRPr="00113D17">
              <w:rPr>
                <w:sz w:val="20"/>
              </w:rPr>
              <w:t> per cent</w:t>
            </w:r>
            <w:r w:rsidRPr="00113D17">
              <w:rPr>
                <w:sz w:val="20"/>
              </w:rPr>
              <w:t xml:space="preserve"> value added tax (VAT) on LPG, </w:t>
            </w:r>
            <w:r w:rsidR="00325377" w:rsidRPr="00113D17">
              <w:rPr>
                <w:sz w:val="20"/>
              </w:rPr>
              <w:t xml:space="preserve">reduced the </w:t>
            </w:r>
            <w:r w:rsidR="00A80568" w:rsidRPr="00113D17">
              <w:rPr>
                <w:sz w:val="20"/>
              </w:rPr>
              <w:t>i</w:t>
            </w:r>
            <w:r w:rsidRPr="00113D17">
              <w:rPr>
                <w:sz w:val="20"/>
              </w:rPr>
              <w:t>mport duty on efficient cookstoves from 25</w:t>
            </w:r>
            <w:r w:rsidR="00F340B7" w:rsidRPr="00113D17">
              <w:rPr>
                <w:sz w:val="20"/>
              </w:rPr>
              <w:t> per cent</w:t>
            </w:r>
            <w:r w:rsidRPr="00113D17">
              <w:rPr>
                <w:sz w:val="20"/>
              </w:rPr>
              <w:t xml:space="preserve"> to 10</w:t>
            </w:r>
            <w:r w:rsidR="00F340B7" w:rsidRPr="00113D17">
              <w:rPr>
                <w:sz w:val="20"/>
              </w:rPr>
              <w:t> per cent</w:t>
            </w:r>
            <w:r w:rsidRPr="00113D17">
              <w:rPr>
                <w:sz w:val="20"/>
              </w:rPr>
              <w:t>, and placed a zero-rating VAT on improved cookstoves, raw materials and their accessories.</w:t>
            </w:r>
          </w:p>
        </w:tc>
        <w:tc>
          <w:tcPr>
            <w:tcW w:w="2404" w:type="dxa"/>
          </w:tcPr>
          <w:p w14:paraId="5E57DF1E" w14:textId="77777777" w:rsidR="00670B24" w:rsidRPr="00113D17" w:rsidRDefault="00325377"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Global Allianc</w:t>
            </w:r>
            <w:r w:rsidR="00D965EF" w:rsidRPr="00113D17">
              <w:rPr>
                <w:sz w:val="20"/>
              </w:rPr>
              <w:t xml:space="preserve">e for Clean Cookstoves </w:t>
            </w:r>
            <w:r w:rsidR="00F340B7" w:rsidRPr="00113D17">
              <w:rPr>
                <w:sz w:val="20"/>
              </w:rPr>
              <w:t>2016</w:t>
            </w:r>
          </w:p>
        </w:tc>
      </w:tr>
      <w:tr w:rsidR="00670B24" w:rsidRPr="004A1A26" w14:paraId="1D5302DF"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58D38010" w14:textId="77777777" w:rsidR="00670B24" w:rsidRPr="00113D17" w:rsidRDefault="00670B24" w:rsidP="00113D17">
            <w:pPr>
              <w:pStyle w:val="TableText"/>
              <w:spacing w:before="0" w:after="0" w:line="240" w:lineRule="auto"/>
              <w:rPr>
                <w:sz w:val="20"/>
              </w:rPr>
            </w:pPr>
            <w:r w:rsidRPr="00113D17">
              <w:rPr>
                <w:sz w:val="20"/>
              </w:rPr>
              <w:t>Cost-effectiveness</w:t>
            </w:r>
          </w:p>
        </w:tc>
        <w:tc>
          <w:tcPr>
            <w:tcW w:w="5245" w:type="dxa"/>
          </w:tcPr>
          <w:p w14:paraId="44E4BF0D"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Design of cookstoves does not offer the full benefit of fuel savings and reduced </w:t>
            </w:r>
            <w:r w:rsidR="00F340B7" w:rsidRPr="00113D17">
              <w:rPr>
                <w:sz w:val="20"/>
              </w:rPr>
              <w:t>emission</w:t>
            </w:r>
            <w:r w:rsidRPr="00113D17">
              <w:rPr>
                <w:sz w:val="20"/>
              </w:rPr>
              <w:t xml:space="preserve">s and high quality cookstoves are not easily distinguished from their competitors. </w:t>
            </w:r>
          </w:p>
        </w:tc>
        <w:tc>
          <w:tcPr>
            <w:tcW w:w="2404" w:type="dxa"/>
          </w:tcPr>
          <w:p w14:paraId="16823C61"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670B24" w:rsidRPr="004A1A26" w14:paraId="0EFE6E52"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A1F03E" w14:textId="77777777" w:rsidR="00670B24" w:rsidRPr="00113D17" w:rsidRDefault="00670B24" w:rsidP="00113D17">
            <w:pPr>
              <w:pStyle w:val="TableText"/>
              <w:spacing w:before="0" w:after="0" w:line="240" w:lineRule="auto"/>
              <w:rPr>
                <w:sz w:val="20"/>
              </w:rPr>
            </w:pPr>
            <w:r w:rsidRPr="00113D17">
              <w:rPr>
                <w:sz w:val="20"/>
              </w:rPr>
              <w:t>Equity</w:t>
            </w:r>
          </w:p>
        </w:tc>
        <w:tc>
          <w:tcPr>
            <w:tcW w:w="5245" w:type="dxa"/>
          </w:tcPr>
          <w:p w14:paraId="238A3C16" w14:textId="7777777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Households in the poorest quintile, women in younger age groups and people living in remote areas </w:t>
            </w:r>
            <w:r w:rsidR="00325377" w:rsidRPr="00113D17">
              <w:rPr>
                <w:sz w:val="20"/>
              </w:rPr>
              <w:t>are</w:t>
            </w:r>
            <w:r w:rsidRPr="00113D17">
              <w:rPr>
                <w:sz w:val="20"/>
              </w:rPr>
              <w:t xml:space="preserve"> less likely to adopt and install improved cookstoves</w:t>
            </w:r>
            <w:r w:rsidR="00325377" w:rsidRPr="00113D17">
              <w:rPr>
                <w:sz w:val="20"/>
              </w:rPr>
              <w:t>.</w:t>
            </w:r>
          </w:p>
        </w:tc>
        <w:tc>
          <w:tcPr>
            <w:tcW w:w="2404" w:type="dxa"/>
          </w:tcPr>
          <w:p w14:paraId="092FEF5D" w14:textId="755D1E0F"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Silk </w:t>
            </w:r>
            <w:r w:rsidRPr="00113D17">
              <w:rPr>
                <w:i/>
                <w:sz w:val="20"/>
              </w:rPr>
              <w:t>et al.</w:t>
            </w:r>
            <w:r w:rsidR="00714DE2">
              <w:rPr>
                <w:i/>
                <w:sz w:val="20"/>
              </w:rPr>
              <w:t xml:space="preserve"> </w:t>
            </w:r>
            <w:r w:rsidR="00F340B7" w:rsidRPr="00113D17">
              <w:rPr>
                <w:sz w:val="20"/>
              </w:rPr>
              <w:t>2012</w:t>
            </w:r>
            <w:r w:rsidR="009116AB" w:rsidRPr="00113D17">
              <w:rPr>
                <w:sz w:val="20"/>
              </w:rPr>
              <w:t xml:space="preserve">; </w:t>
            </w:r>
            <w:proofErr w:type="spellStart"/>
            <w:r w:rsidR="009116AB" w:rsidRPr="00113D17">
              <w:rPr>
                <w:sz w:val="20"/>
              </w:rPr>
              <w:t>Kapfudzaruwa</w:t>
            </w:r>
            <w:proofErr w:type="spellEnd"/>
            <w:r w:rsidR="009116AB" w:rsidRPr="00113D17">
              <w:rPr>
                <w:sz w:val="20"/>
              </w:rPr>
              <w:t xml:space="preserve">, Fay and Hart </w:t>
            </w:r>
            <w:r w:rsidR="00F340B7" w:rsidRPr="00113D17">
              <w:rPr>
                <w:sz w:val="20"/>
              </w:rPr>
              <w:t>2017</w:t>
            </w:r>
          </w:p>
        </w:tc>
      </w:tr>
      <w:tr w:rsidR="00670B24" w:rsidRPr="004A1A26" w14:paraId="32EEA349"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51DB07B8" w14:textId="77777777" w:rsidR="00670B24" w:rsidRPr="00113D17" w:rsidRDefault="00670B24" w:rsidP="00113D17">
            <w:pPr>
              <w:pStyle w:val="TableText"/>
              <w:spacing w:before="0" w:after="0" w:line="240" w:lineRule="auto"/>
              <w:rPr>
                <w:sz w:val="20"/>
              </w:rPr>
            </w:pPr>
            <w:r w:rsidRPr="00113D17">
              <w:rPr>
                <w:sz w:val="20"/>
              </w:rPr>
              <w:t xml:space="preserve">Co-benefits </w:t>
            </w:r>
          </w:p>
        </w:tc>
        <w:tc>
          <w:tcPr>
            <w:tcW w:w="5245" w:type="dxa"/>
          </w:tcPr>
          <w:p w14:paraId="5AC40611"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Livelihood improvements, social impacts (including gender), reductions in co-pollutants (ozone damage to crops), among others</w:t>
            </w:r>
          </w:p>
        </w:tc>
        <w:tc>
          <w:tcPr>
            <w:tcW w:w="2404" w:type="dxa"/>
          </w:tcPr>
          <w:p w14:paraId="2D29AD6B" w14:textId="7777777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670B24" w:rsidRPr="004A1A26" w14:paraId="33AF85FE" w14:textId="77777777" w:rsidTr="0000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7FAF0F4" w14:textId="77777777" w:rsidR="00670B24" w:rsidRPr="00113D17" w:rsidRDefault="00670B24" w:rsidP="00113D17">
            <w:pPr>
              <w:pStyle w:val="TableText"/>
              <w:spacing w:before="0" w:after="0" w:line="240" w:lineRule="auto"/>
              <w:rPr>
                <w:sz w:val="20"/>
              </w:rPr>
            </w:pPr>
            <w:r w:rsidRPr="00113D17">
              <w:rPr>
                <w:sz w:val="20"/>
              </w:rPr>
              <w:t>Transboundary effects</w:t>
            </w:r>
          </w:p>
        </w:tc>
        <w:tc>
          <w:tcPr>
            <w:tcW w:w="5245" w:type="dxa"/>
          </w:tcPr>
          <w:p w14:paraId="40FA746B" w14:textId="54ABCC55" w:rsidR="00670B24" w:rsidRPr="00113D17" w:rsidRDefault="00B50660"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Lessons learned can be applied to other </w:t>
            </w:r>
            <w:r w:rsidR="00F340B7" w:rsidRPr="00113D17">
              <w:rPr>
                <w:sz w:val="20"/>
              </w:rPr>
              <w:t>sub-Saharan</w:t>
            </w:r>
            <w:r w:rsidR="006E6ED4">
              <w:rPr>
                <w:sz w:val="20"/>
              </w:rPr>
              <w:t xml:space="preserve"> </w:t>
            </w:r>
            <w:r w:rsidR="00A80568" w:rsidRPr="00113D17">
              <w:rPr>
                <w:sz w:val="20"/>
              </w:rPr>
              <w:t xml:space="preserve">African </w:t>
            </w:r>
            <w:r w:rsidRPr="00113D17">
              <w:rPr>
                <w:sz w:val="20"/>
              </w:rPr>
              <w:t>countries</w:t>
            </w:r>
            <w:r w:rsidR="000A3AB0" w:rsidRPr="00113D17">
              <w:rPr>
                <w:sz w:val="20"/>
              </w:rPr>
              <w:t>.</w:t>
            </w:r>
          </w:p>
        </w:tc>
        <w:tc>
          <w:tcPr>
            <w:tcW w:w="2404" w:type="dxa"/>
          </w:tcPr>
          <w:p w14:paraId="6350F40D" w14:textId="77777777" w:rsidR="00670B24" w:rsidRPr="00113D17" w:rsidRDefault="00670B24" w:rsidP="00113D17">
            <w:pPr>
              <w:pStyle w:val="TableText"/>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670B24" w:rsidRPr="004A1A26" w14:paraId="2A8C9FBE" w14:textId="77777777" w:rsidTr="000056BB">
        <w:tc>
          <w:tcPr>
            <w:cnfStyle w:val="001000000000" w:firstRow="0" w:lastRow="0" w:firstColumn="1" w:lastColumn="0" w:oddVBand="0" w:evenVBand="0" w:oddHBand="0" w:evenHBand="0" w:firstRowFirstColumn="0" w:firstRowLastColumn="0" w:lastRowFirstColumn="0" w:lastRowLastColumn="0"/>
            <w:tcW w:w="1526" w:type="dxa"/>
          </w:tcPr>
          <w:p w14:paraId="6FB430FF" w14:textId="77777777" w:rsidR="00670B24" w:rsidRPr="00113D17" w:rsidRDefault="00670B24" w:rsidP="00113D17">
            <w:pPr>
              <w:pStyle w:val="TableText"/>
              <w:spacing w:before="0" w:after="0" w:line="240" w:lineRule="auto"/>
              <w:rPr>
                <w:sz w:val="20"/>
              </w:rPr>
            </w:pPr>
            <w:r w:rsidRPr="00113D17">
              <w:rPr>
                <w:sz w:val="20"/>
              </w:rPr>
              <w:t>Possible improvements</w:t>
            </w:r>
          </w:p>
        </w:tc>
        <w:tc>
          <w:tcPr>
            <w:tcW w:w="5245" w:type="dxa"/>
          </w:tcPr>
          <w:p w14:paraId="6EC88AAA" w14:textId="5DCAB065"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Customer segmentation studies</w:t>
            </w:r>
            <w:r w:rsidR="006E6ED4">
              <w:rPr>
                <w:sz w:val="20"/>
              </w:rPr>
              <w:t xml:space="preserve"> </w:t>
            </w:r>
            <w:r w:rsidR="00D56970" w:rsidRPr="00113D17">
              <w:rPr>
                <w:sz w:val="20"/>
              </w:rPr>
              <w:t xml:space="preserve">are </w:t>
            </w:r>
            <w:r w:rsidR="00325377" w:rsidRPr="00113D17">
              <w:rPr>
                <w:sz w:val="20"/>
              </w:rPr>
              <w:t xml:space="preserve">needed to understand customer needs and tailor financial products for purchasers. </w:t>
            </w:r>
            <w:r w:rsidR="00FD2CB6" w:rsidRPr="00113D17">
              <w:rPr>
                <w:sz w:val="20"/>
              </w:rPr>
              <w:t xml:space="preserve">Existing </w:t>
            </w:r>
            <w:r w:rsidR="00F340B7" w:rsidRPr="00113D17">
              <w:rPr>
                <w:sz w:val="20"/>
              </w:rPr>
              <w:t>non-</w:t>
            </w:r>
            <w:r w:rsidR="00FD2CB6" w:rsidRPr="00113D17">
              <w:rPr>
                <w:sz w:val="20"/>
              </w:rPr>
              <w:t>cookstove distribution and wholesale networks need to be u</w:t>
            </w:r>
            <w:r w:rsidR="00D56970" w:rsidRPr="00113D17">
              <w:rPr>
                <w:sz w:val="20"/>
              </w:rPr>
              <w:t>s</w:t>
            </w:r>
            <w:r w:rsidR="00FD2CB6" w:rsidRPr="00113D17">
              <w:rPr>
                <w:sz w:val="20"/>
              </w:rPr>
              <w:t>ed to improve consumer access and affordability.</w:t>
            </w:r>
          </w:p>
        </w:tc>
        <w:tc>
          <w:tcPr>
            <w:tcW w:w="2404" w:type="dxa"/>
          </w:tcPr>
          <w:p w14:paraId="1E7C887B" w14:textId="6F131417" w:rsidR="00670B24" w:rsidRPr="00113D17" w:rsidRDefault="00670B24" w:rsidP="00113D17">
            <w:pPr>
              <w:pStyle w:val="TableText"/>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 (</w:t>
            </w:r>
            <w:r w:rsidR="009732D0" w:rsidRPr="00113D17">
              <w:rPr>
                <w:sz w:val="20"/>
              </w:rPr>
              <w:t>Global Alliance for Clean Cookstoves 2013</w:t>
            </w:r>
            <w:r w:rsidR="009732D0">
              <w:rPr>
                <w:sz w:val="20"/>
              </w:rPr>
              <w:t xml:space="preserve">; </w:t>
            </w:r>
            <w:r w:rsidR="009732D0" w:rsidRPr="009732D0">
              <w:rPr>
                <w:sz w:val="20"/>
              </w:rPr>
              <w:t>Kenya</w:t>
            </w:r>
            <w:r w:rsidR="009732D0">
              <w:rPr>
                <w:sz w:val="20"/>
              </w:rPr>
              <w:t>,</w:t>
            </w:r>
            <w:r w:rsidR="009732D0" w:rsidRPr="009732D0">
              <w:rPr>
                <w:sz w:val="20"/>
              </w:rPr>
              <w:t xml:space="preserve"> Ministry of Energy and Petroleum</w:t>
            </w:r>
            <w:r w:rsidR="009732D0">
              <w:rPr>
                <w:sz w:val="20"/>
              </w:rPr>
              <w:t xml:space="preserve"> </w:t>
            </w:r>
            <w:r w:rsidR="00F340B7" w:rsidRPr="00113D17">
              <w:rPr>
                <w:sz w:val="20"/>
              </w:rPr>
              <w:t>2015</w:t>
            </w:r>
            <w:r w:rsidR="009732D0">
              <w:rPr>
                <w:sz w:val="20"/>
              </w:rPr>
              <w:t>)</w:t>
            </w:r>
            <w:r w:rsidRPr="00113D17">
              <w:rPr>
                <w:sz w:val="20"/>
              </w:rPr>
              <w:t xml:space="preserve"> </w:t>
            </w:r>
          </w:p>
        </w:tc>
      </w:tr>
    </w:tbl>
    <w:p w14:paraId="6FD8F351" w14:textId="77777777" w:rsidR="00F340B7" w:rsidRPr="004A1A26" w:rsidRDefault="00F340B7" w:rsidP="00B477F5">
      <w:pPr>
        <w:rPr>
          <w:lang w:eastAsia="zh-CN"/>
        </w:rPr>
      </w:pPr>
    </w:p>
    <w:p w14:paraId="70FB6C93" w14:textId="76470A70" w:rsidR="00F340B7" w:rsidRPr="004A1A26" w:rsidRDefault="00F32F98" w:rsidP="00B477F5">
      <w:bookmarkStart w:id="33" w:name="_35nkun2" w:colFirst="0" w:colLast="0"/>
      <w:bookmarkEnd w:id="33"/>
      <w:r w:rsidRPr="004A1A26">
        <w:t xml:space="preserve">Overall the clean cookstove market in Kenya shows promise, but there is a strong need for policy intervention in rural areas to </w:t>
      </w:r>
      <w:r w:rsidR="00F340B7" w:rsidRPr="004A1A26">
        <w:t>scale up</w:t>
      </w:r>
      <w:r w:rsidRPr="004A1A26">
        <w:t xml:space="preserve"> the adoption and use of cookstoves. </w:t>
      </w:r>
      <w:r w:rsidR="00F31471" w:rsidRPr="004A1A26">
        <w:t xml:space="preserve">Human health could be better integrated within this policy in the future by clearly delineating the health indicators of local and global significance that need to be monitored periodically to effectively track </w:t>
      </w:r>
      <w:r w:rsidR="00F340B7" w:rsidRPr="004A1A26">
        <w:t>progress</w:t>
      </w:r>
      <w:r w:rsidR="00F31471" w:rsidRPr="004A1A26">
        <w:t xml:space="preserve"> in health benefits spati</w:t>
      </w:r>
      <w:r w:rsidR="006E6ED4">
        <w:t xml:space="preserve">ally </w:t>
      </w:r>
      <w:proofErr w:type="spellStart"/>
      <w:r w:rsidR="006E6ED4">
        <w:t>and</w:t>
      </w:r>
      <w:r w:rsidR="00F31471" w:rsidRPr="004A1A26">
        <w:t>temporally</w:t>
      </w:r>
      <w:proofErr w:type="spellEnd"/>
      <w:r w:rsidR="00F31471" w:rsidRPr="004A1A26">
        <w:t>.</w:t>
      </w:r>
    </w:p>
    <w:p w14:paraId="788130DF" w14:textId="77777777" w:rsidR="00F340B7" w:rsidRPr="004A1A26" w:rsidRDefault="00F32F98" w:rsidP="00A41281">
      <w:pPr>
        <w:pStyle w:val="Heading3"/>
      </w:pPr>
      <w:bookmarkStart w:id="34" w:name="_Toc500317243"/>
      <w:bookmarkStart w:id="35" w:name="_Toc500317436"/>
      <w:bookmarkStart w:id="36" w:name="_Toc500334334"/>
      <w:bookmarkStart w:id="37" w:name="_Toc500347364"/>
      <w:bookmarkStart w:id="38" w:name="_Toc516842469"/>
      <w:r w:rsidRPr="004A1A26">
        <w:t xml:space="preserve">Information </w:t>
      </w:r>
      <w:r w:rsidR="00D56970" w:rsidRPr="004A1A26">
        <w:t>p</w:t>
      </w:r>
      <w:r w:rsidRPr="004A1A26">
        <w:t>olicies</w:t>
      </w:r>
      <w:bookmarkEnd w:id="34"/>
      <w:bookmarkEnd w:id="35"/>
      <w:bookmarkEnd w:id="36"/>
      <w:bookmarkEnd w:id="37"/>
      <w:bookmarkEnd w:id="38"/>
    </w:p>
    <w:p w14:paraId="0F3CC364" w14:textId="4FDAF100" w:rsidR="00F340B7" w:rsidRPr="004A1A26" w:rsidRDefault="00B77A5C" w:rsidP="00B477F5">
      <w:r w:rsidRPr="004A1A26">
        <w:t xml:space="preserve">In addition to using regulatory mandates and market incentives, governments can, at times, aim to support a </w:t>
      </w:r>
      <w:r w:rsidR="00D2621B" w:rsidRPr="004A1A26">
        <w:t>change in lifestyle</w:t>
      </w:r>
      <w:r w:rsidR="00F22983">
        <w:t xml:space="preserve"> </w:t>
      </w:r>
      <w:r w:rsidRPr="004A1A26">
        <w:t xml:space="preserve">to either reduce </w:t>
      </w:r>
      <w:r w:rsidR="00F340B7" w:rsidRPr="004A1A26">
        <w:t>emission</w:t>
      </w:r>
      <w:r w:rsidRPr="004A1A26">
        <w:t xml:space="preserve">s or exposure to harmful levels of air pollution by providing the public with </w:t>
      </w:r>
      <w:r w:rsidR="000A3AB0" w:rsidRPr="004A1A26">
        <w:t xml:space="preserve">better </w:t>
      </w:r>
      <w:r w:rsidRPr="004A1A26">
        <w:t xml:space="preserve">information. This goes in line with an improved understanding of the hazards and risks of exposure to air pollution in recent years (Kelly and </w:t>
      </w:r>
      <w:proofErr w:type="spellStart"/>
      <w:r w:rsidRPr="004A1A26">
        <w:t>Fussel</w:t>
      </w:r>
      <w:proofErr w:type="spellEnd"/>
      <w:r w:rsidR="00F22983">
        <w:t xml:space="preserve"> </w:t>
      </w:r>
      <w:r w:rsidR="00F340B7" w:rsidRPr="004A1A26">
        <w:t>2015</w:t>
      </w:r>
      <w:r w:rsidRPr="004A1A26">
        <w:t xml:space="preserve">), </w:t>
      </w:r>
      <w:r w:rsidR="000A3AB0" w:rsidRPr="004A1A26">
        <w:t xml:space="preserve">although </w:t>
      </w:r>
      <w:r w:rsidRPr="004A1A26">
        <w:t xml:space="preserve">the importance of public education for air pollution control </w:t>
      </w:r>
      <w:r w:rsidR="000A3AB0" w:rsidRPr="004A1A26">
        <w:t>was</w:t>
      </w:r>
      <w:r w:rsidRPr="004A1A26">
        <w:t xml:space="preserve"> raised more than 50 years ago by Auerbach and </w:t>
      </w:r>
      <w:proofErr w:type="spellStart"/>
      <w:r w:rsidRPr="004A1A26">
        <w:t>Flieger</w:t>
      </w:r>
      <w:proofErr w:type="spellEnd"/>
      <w:r w:rsidRPr="004A1A26">
        <w:t xml:space="preserve"> (</w:t>
      </w:r>
      <w:r w:rsidR="00F340B7" w:rsidRPr="004A1A26">
        <w:t>1967</w:t>
      </w:r>
      <w:r w:rsidRPr="004A1A26">
        <w:t xml:space="preserve">). One example of such an approach is the provision of near real-time air </w:t>
      </w:r>
      <w:r w:rsidRPr="004A1A26">
        <w:lastRenderedPageBreak/>
        <w:t xml:space="preserve">quality observations and forecasts. The posting of near real-time air quality data online is increasingly common in many nations and major cities around the world. Some locations also provide air quality forecasts, predicting air quality levels for one or more days into the future. This information is often further circulated via other websites, social media, smart phone apps, newspapers, </w:t>
      </w:r>
      <w:r w:rsidR="004146B4" w:rsidRPr="004A1A26">
        <w:t xml:space="preserve">local radio </w:t>
      </w:r>
      <w:r w:rsidRPr="004A1A26">
        <w:t xml:space="preserve">and television. </w:t>
      </w:r>
      <w:r w:rsidR="004146B4" w:rsidRPr="004A1A26">
        <w:t xml:space="preserve">These dynamic media may be complemented by educational posters and pamphlets. </w:t>
      </w:r>
      <w:r w:rsidRPr="004A1A26">
        <w:t xml:space="preserve">The objective of providing such information is to encourage citizens to change their </w:t>
      </w:r>
      <w:r w:rsidR="0036672D" w:rsidRPr="004A1A26">
        <w:t>lifestyle</w:t>
      </w:r>
      <w:r w:rsidRPr="004A1A26">
        <w:t xml:space="preserve"> to:</w:t>
      </w:r>
    </w:p>
    <w:p w14:paraId="292087DB" w14:textId="1D5C6259" w:rsidR="00F340B7" w:rsidRPr="004A1A26" w:rsidRDefault="00B77A5C" w:rsidP="00295C08">
      <w:pPr>
        <w:pStyle w:val="ListParagraph"/>
        <w:numPr>
          <w:ilvl w:val="0"/>
          <w:numId w:val="1"/>
        </w:numPr>
      </w:pPr>
      <w:r w:rsidRPr="004A1A26">
        <w:t>decrease their exposure to pollution and, consequen</w:t>
      </w:r>
      <w:r w:rsidR="00CF7F48" w:rsidRPr="004A1A26">
        <w:t>tly</w:t>
      </w:r>
      <w:r w:rsidRPr="004A1A26">
        <w:t>, lower the risk of adverse health effects</w:t>
      </w:r>
      <w:r w:rsidR="00F22983">
        <w:t xml:space="preserve"> </w:t>
      </w:r>
      <w:r w:rsidR="00D56970" w:rsidRPr="004A1A26">
        <w:t>(</w:t>
      </w:r>
      <w:r w:rsidRPr="004A1A26">
        <w:t>e.g. by avoiding exercise outdoors during peak concentrations, or for especially vulnerable individuals to stay indoors</w:t>
      </w:r>
      <w:r w:rsidR="00D56970" w:rsidRPr="004A1A26">
        <w:t>)</w:t>
      </w:r>
      <w:r w:rsidRPr="004A1A26">
        <w:t>; and</w:t>
      </w:r>
    </w:p>
    <w:p w14:paraId="60089CB2" w14:textId="1E68657F" w:rsidR="00F340B7" w:rsidRPr="004A1A26" w:rsidRDefault="00B77A5C" w:rsidP="00295C08">
      <w:pPr>
        <w:pStyle w:val="ListParagraph"/>
        <w:numPr>
          <w:ilvl w:val="0"/>
          <w:numId w:val="1"/>
        </w:numPr>
      </w:pPr>
      <w:r w:rsidRPr="004A1A26">
        <w:t xml:space="preserve">decrease their </w:t>
      </w:r>
      <w:r w:rsidR="00F340B7" w:rsidRPr="004A1A26">
        <w:t>emission</w:t>
      </w:r>
      <w:r w:rsidRPr="004A1A26">
        <w:t>s</w:t>
      </w:r>
      <w:r w:rsidR="00F22983">
        <w:t xml:space="preserve"> </w:t>
      </w:r>
      <w:r w:rsidR="00D56970" w:rsidRPr="004A1A26">
        <w:t>(</w:t>
      </w:r>
      <w:r w:rsidRPr="004A1A26">
        <w:t>e.g. commute via public transportation instead of personal transport or curtail use of wood fires or other biomass burning during forecast pollution episodes</w:t>
      </w:r>
      <w:r w:rsidR="00D56970" w:rsidRPr="004A1A26">
        <w:t>)</w:t>
      </w:r>
      <w:r w:rsidRPr="004A1A26">
        <w:t>.</w:t>
      </w:r>
    </w:p>
    <w:p w14:paraId="45704516" w14:textId="77777777" w:rsidR="00F340B7" w:rsidRPr="004A1A26" w:rsidRDefault="00B77A5C" w:rsidP="00B477F5">
      <w:r w:rsidRPr="004A1A26">
        <w:t xml:space="preserve">Air quality forecasts and real-time values may be used to complement other air pollution control policies. For example, some localities in the United States impose wood-burning restrictions when a pollution episode alert has been issued, while in Europe several large cities, such as Paris, have issued restrictions for private car use during high pollutant concentration episodes in recent years. For the severest of episodes, governments may shutdown factories and other </w:t>
      </w:r>
      <w:r w:rsidR="00F340B7" w:rsidRPr="004A1A26">
        <w:t>non-</w:t>
      </w:r>
      <w:r w:rsidRPr="004A1A26">
        <w:t xml:space="preserve">essential activities. In Singapore, real-time air quality concentrations are used along with traffic congestion levels to adjust roadway tolls, while several cities </w:t>
      </w:r>
      <w:r w:rsidR="00D56970" w:rsidRPr="004A1A26">
        <w:t xml:space="preserve">in China </w:t>
      </w:r>
      <w:r w:rsidRPr="004A1A26">
        <w:t>impose a ban on trucks and other high</w:t>
      </w:r>
      <w:r w:rsidR="00D56970" w:rsidRPr="004A1A26">
        <w:t>-</w:t>
      </w:r>
      <w:r w:rsidR="00F340B7" w:rsidRPr="004A1A26">
        <w:t>emission</w:t>
      </w:r>
      <w:r w:rsidRPr="004A1A26">
        <w:t xml:space="preserve"> vehicles during the day to manage air quality.</w:t>
      </w:r>
    </w:p>
    <w:p w14:paraId="7F173075" w14:textId="26D52AF5" w:rsidR="00F340B7" w:rsidRPr="004A1A26" w:rsidRDefault="00B77A5C" w:rsidP="00B477F5">
      <w:r w:rsidRPr="004A1A26">
        <w:t xml:space="preserve">Other examples of providing information to guide behaviour are labelling and branding. In this context, labelling refers to providing information on a product about its environmental impacts, such as its relative </w:t>
      </w:r>
      <w:r w:rsidR="00F340B7" w:rsidRPr="004A1A26">
        <w:t>emission</w:t>
      </w:r>
      <w:r w:rsidRPr="004A1A26">
        <w:t>s or energy consumption, to inform consumers</w:t>
      </w:r>
      <w:r w:rsidR="00F340B7" w:rsidRPr="004A1A26">
        <w:t>’</w:t>
      </w:r>
      <w:r w:rsidRPr="004A1A26">
        <w:t xml:space="preserve"> choices. Such labels may be required by government regulations </w:t>
      </w:r>
      <w:r w:rsidR="00F340B7" w:rsidRPr="004A1A26">
        <w:t>(e.g.</w:t>
      </w:r>
      <w:r w:rsidR="00F22983">
        <w:t xml:space="preserve"> </w:t>
      </w:r>
      <w:r w:rsidR="00F340B7" w:rsidRPr="004A1A26">
        <w:t>emission</w:t>
      </w:r>
      <w:r w:rsidR="00D56970" w:rsidRPr="004A1A26">
        <w:t>s</w:t>
      </w:r>
      <w:r w:rsidRPr="004A1A26">
        <w:t xml:space="preserve"> and fuel economy estimates are required on the labels for new cars in the United States) or may be voluntarily provided by the manufacturer. Branding, in this context, involves associating a </w:t>
      </w:r>
      <w:r w:rsidR="00F340B7" w:rsidRPr="004A1A26">
        <w:t>logo</w:t>
      </w:r>
      <w:r w:rsidRPr="004A1A26">
        <w:t xml:space="preserve"> or symbol with a product or service that indicates to consumers that the product or service has met some set criteria for environmental performance </w:t>
      </w:r>
      <w:r w:rsidR="00F340B7" w:rsidRPr="004A1A26">
        <w:t>(e.g.</w:t>
      </w:r>
      <w:r w:rsidRPr="004A1A26">
        <w:t xml:space="preserve"> Energy Star).</w:t>
      </w:r>
      <w:r w:rsidR="00F22983">
        <w:t xml:space="preserve"> </w:t>
      </w:r>
      <w:r w:rsidRPr="004A1A26">
        <w:t>Such brands have been established by governments, industry associations or public advocacy groups as voluntary pr</w:t>
      </w:r>
      <w:r w:rsidR="00F340B7" w:rsidRPr="004A1A26">
        <w:t>ogra</w:t>
      </w:r>
      <w:r w:rsidRPr="004A1A26">
        <w:t>m</w:t>
      </w:r>
      <w:r w:rsidR="000A3AB0" w:rsidRPr="004A1A26">
        <w:t>me</w:t>
      </w:r>
      <w:r w:rsidRPr="004A1A26">
        <w:t>s, and often involve in</w:t>
      </w:r>
      <w:r w:rsidR="00F340B7" w:rsidRPr="004A1A26">
        <w:t>dependent</w:t>
      </w:r>
      <w:r w:rsidRPr="004A1A26">
        <w:t xml:space="preserve"> testing.</w:t>
      </w:r>
    </w:p>
    <w:p w14:paraId="37AB060B" w14:textId="77777777" w:rsidR="00F340B7" w:rsidRPr="004A1A26" w:rsidRDefault="00B77A5C" w:rsidP="00B477F5">
      <w:r w:rsidRPr="004A1A26">
        <w:t>These approaches need to reach a threshold level of awareness and rec</w:t>
      </w:r>
      <w:r w:rsidR="00F340B7" w:rsidRPr="004A1A26">
        <w:t>ogn</w:t>
      </w:r>
      <w:r w:rsidRPr="004A1A26">
        <w:t xml:space="preserve">ition across their target populations before they can have much effect on environmental pressures (consumption and other </w:t>
      </w:r>
      <w:r w:rsidR="00F340B7" w:rsidRPr="004A1A26">
        <w:t>emission</w:t>
      </w:r>
      <w:r w:rsidRPr="004A1A26">
        <w:t>s-generating behaviour) and impacts (exposure</w:t>
      </w:r>
      <w:r w:rsidR="00D56970" w:rsidRPr="004A1A26">
        <w:t>-</w:t>
      </w:r>
      <w:r w:rsidRPr="004A1A26">
        <w:t xml:space="preserve">related behaviour). However, once the threshold is reached, citizens and consumers may begin to expect and demand such information. Moreover, increasing awareness of the sources and impacts of pollution may increase public demand for cleaner air, lower </w:t>
      </w:r>
      <w:r w:rsidR="00F340B7" w:rsidRPr="004A1A26">
        <w:t>emit</w:t>
      </w:r>
      <w:r w:rsidRPr="004A1A26">
        <w:t>ting products and services, and more stringent policies.</w:t>
      </w:r>
    </w:p>
    <w:p w14:paraId="3713B27B" w14:textId="7D0BE5A1" w:rsidR="00F340B7" w:rsidRPr="004A1A26" w:rsidRDefault="00B77A5C" w:rsidP="00B477F5">
      <w:r w:rsidRPr="004A1A26">
        <w:lastRenderedPageBreak/>
        <w:t xml:space="preserve">Access to information also promotes innovation. In the past, most of the information on ambient air quality originated from regulatory bodies. With the curiosity of the public to know more about the ambient air quality and its linkages to human health, there is now a new market of </w:t>
      </w:r>
      <w:r w:rsidR="00F340B7" w:rsidRPr="004A1A26">
        <w:t>non-</w:t>
      </w:r>
      <w:r w:rsidRPr="004A1A26">
        <w:t xml:space="preserve">regulatory air quality monitors, which are providing the same information </w:t>
      </w:r>
      <w:r w:rsidR="00D56970" w:rsidRPr="004A1A26">
        <w:t xml:space="preserve">as </w:t>
      </w:r>
      <w:r w:rsidRPr="004A1A26">
        <w:t xml:space="preserve">the regulatory monitors at </w:t>
      </w:r>
      <w:r w:rsidR="00D56970" w:rsidRPr="004A1A26">
        <w:t>low</w:t>
      </w:r>
      <w:r w:rsidRPr="004A1A26">
        <w:t xml:space="preserve">er cost. While the data quality produced by (often referred to as low-cost) air quality sensors for crowdsourcing of air quality information is at times questionable (Lewis </w:t>
      </w:r>
      <w:r w:rsidR="000A3AB0" w:rsidRPr="004A1A26">
        <w:t xml:space="preserve">and </w:t>
      </w:r>
      <w:r w:rsidRPr="004A1A26">
        <w:t xml:space="preserve">Edwards </w:t>
      </w:r>
      <w:r w:rsidR="00F340B7" w:rsidRPr="004A1A26">
        <w:t>2016</w:t>
      </w:r>
      <w:r w:rsidRPr="004A1A26">
        <w:t xml:space="preserve">; Thompson </w:t>
      </w:r>
      <w:r w:rsidR="00F340B7" w:rsidRPr="004A1A26">
        <w:t>2016</w:t>
      </w:r>
      <w:r w:rsidRPr="004A1A26">
        <w:t>), the empowerment of citizens to take ownership of environmental data cannot be underestimated</w:t>
      </w:r>
      <w:r w:rsidR="00CD7500">
        <w:t xml:space="preserve"> (see Section 25.2)</w:t>
      </w:r>
      <w:r w:rsidRPr="004A1A26">
        <w:t>.</w:t>
      </w:r>
      <w:r w:rsidR="00F22983">
        <w:t xml:space="preserve"> </w:t>
      </w:r>
      <w:r w:rsidRPr="004A1A26">
        <w:t>This serve</w:t>
      </w:r>
      <w:r w:rsidR="000A3AB0" w:rsidRPr="004A1A26">
        <w:t>s</w:t>
      </w:r>
      <w:r w:rsidR="00F22983">
        <w:t xml:space="preserve"> </w:t>
      </w:r>
      <w:r w:rsidRPr="004A1A26">
        <w:t>society with information and let</w:t>
      </w:r>
      <w:r w:rsidR="000A3AB0" w:rsidRPr="004A1A26">
        <w:t>s</w:t>
      </w:r>
      <w:r w:rsidRPr="004A1A26">
        <w:t xml:space="preserve"> the public make informed decisions on when to </w:t>
      </w:r>
      <w:r w:rsidR="00D56970" w:rsidRPr="004A1A26">
        <w:t xml:space="preserve">go </w:t>
      </w:r>
      <w:r w:rsidRPr="004A1A26">
        <w:t>out, when to spend more time outdoors etc., and is further supported by activities to make air quality information openly available and easily accessible</w:t>
      </w:r>
      <w:r w:rsidR="00D56970" w:rsidRPr="004A1A26">
        <w:t>—</w:t>
      </w:r>
      <w:r w:rsidRPr="004A1A26">
        <w:t>for instance</w:t>
      </w:r>
      <w:r w:rsidR="00D56970" w:rsidRPr="004A1A26">
        <w:t>,</w:t>
      </w:r>
      <w:r w:rsidRPr="004A1A26">
        <w:t xml:space="preserve"> through the </w:t>
      </w:r>
      <w:proofErr w:type="spellStart"/>
      <w:r w:rsidRPr="004A1A26">
        <w:t>OpenAQ</w:t>
      </w:r>
      <w:proofErr w:type="spellEnd"/>
      <w:r w:rsidRPr="004A1A26">
        <w:t xml:space="preserve"> initiative (</w:t>
      </w:r>
      <w:hyperlink r:id="rId13" w:history="1">
        <w:r w:rsidRPr="004A1A26">
          <w:rPr>
            <w:rStyle w:val="Hyperlink"/>
          </w:rPr>
          <w:t>https://openaq.org)</w:t>
        </w:r>
      </w:hyperlink>
      <w:r w:rsidRPr="004A1A26">
        <w:t xml:space="preserve">, which aims to </w:t>
      </w:r>
      <w:r w:rsidR="000A3AB0" w:rsidRPr="004A1A26">
        <w:rPr>
          <w:i/>
          <w:color w:val="000000" w:themeColor="text1"/>
        </w:rPr>
        <w:t>“</w:t>
      </w:r>
      <w:r w:rsidRPr="004A1A26">
        <w:rPr>
          <w:i/>
          <w:color w:val="000000" w:themeColor="text1"/>
        </w:rPr>
        <w:t>enable previously impossible science, impact policy and empower the public to fight air pollution through open data, open-source tools, and cooperation</w:t>
      </w:r>
      <w:r w:rsidR="000A3AB0" w:rsidRPr="004A1A26">
        <w:rPr>
          <w:i/>
          <w:color w:val="000000" w:themeColor="text1"/>
        </w:rPr>
        <w:t>”</w:t>
      </w:r>
      <w:r w:rsidRPr="004A1A26">
        <w:t>.</w:t>
      </w:r>
    </w:p>
    <w:p w14:paraId="09B2F466" w14:textId="77777777" w:rsidR="00F340B7" w:rsidRPr="004A1A26" w:rsidRDefault="00B77A5C" w:rsidP="00B477F5">
      <w:r w:rsidRPr="004A1A26">
        <w:t xml:space="preserve">The need for more information has led to </w:t>
      </w:r>
      <w:r w:rsidR="00D56970" w:rsidRPr="004A1A26">
        <w:t xml:space="preserve">the </w:t>
      </w:r>
      <w:r w:rsidRPr="004A1A26">
        <w:t xml:space="preserve">establishment of private organizations as </w:t>
      </w:r>
      <w:r w:rsidR="00F340B7" w:rsidRPr="004A1A26">
        <w:t>well</w:t>
      </w:r>
      <w:r w:rsidRPr="004A1A26">
        <w:t xml:space="preserve"> as regulatory agencies taking charge of experimenting with novel ways </w:t>
      </w:r>
      <w:r w:rsidR="00D56970" w:rsidRPr="004A1A26">
        <w:t xml:space="preserve">to </w:t>
      </w:r>
      <w:r w:rsidRPr="004A1A26">
        <w:t>generat</w:t>
      </w:r>
      <w:r w:rsidR="00D56970" w:rsidRPr="004A1A26">
        <w:t>e</w:t>
      </w:r>
      <w:r w:rsidRPr="004A1A26">
        <w:t xml:space="preserve"> information most suitable for consumption. </w:t>
      </w:r>
      <w:r w:rsidR="000A3AB0" w:rsidRPr="004A1A26">
        <w:t>Experimentation</w:t>
      </w:r>
      <w:r w:rsidRPr="004A1A26">
        <w:t xml:space="preserve"> is feasible to expand</w:t>
      </w:r>
      <w:r w:rsidR="00D56970" w:rsidRPr="004A1A26">
        <w:t>,</w:t>
      </w:r>
      <w:r w:rsidRPr="004A1A26">
        <w:t xml:space="preserve"> and there is room for the regulatory bodies to step in and endorse the emerging technol</w:t>
      </w:r>
      <w:r w:rsidR="00F340B7" w:rsidRPr="004A1A26">
        <w:t>ogies</w:t>
      </w:r>
      <w:r w:rsidRPr="004A1A26">
        <w:t xml:space="preserve"> for further expansion.</w:t>
      </w:r>
    </w:p>
    <w:p w14:paraId="3156AD1F" w14:textId="7F38A525" w:rsidR="00F340B7" w:rsidRPr="004A1A26" w:rsidRDefault="00540CD3" w:rsidP="00B477F5">
      <w:r w:rsidRPr="004A1A26">
        <w:t xml:space="preserve">With </w:t>
      </w:r>
      <w:r w:rsidR="00B77A5C" w:rsidRPr="004A1A26">
        <w:t>the wide use of smart phones and open applications, this information is now serving everyone with access to a phone, in addition to traditional dis</w:t>
      </w:r>
      <w:r w:rsidR="00F340B7" w:rsidRPr="004A1A26">
        <w:t>semi</w:t>
      </w:r>
      <w:r w:rsidR="00B77A5C" w:rsidRPr="004A1A26">
        <w:t xml:space="preserve">nation </w:t>
      </w:r>
      <w:r w:rsidR="005B1C94" w:rsidRPr="004A1A26">
        <w:t>channels</w:t>
      </w:r>
      <w:r w:rsidR="00B77A5C" w:rsidRPr="004A1A26">
        <w:t>. Due to the wide spread use of mobile applications, citizens</w:t>
      </w:r>
      <w:r w:rsidR="00F340B7" w:rsidRPr="004A1A26">
        <w:t>’</w:t>
      </w:r>
      <w:r w:rsidR="00B77A5C" w:rsidRPr="004A1A26">
        <w:t xml:space="preserve"> awareness of and access to information is increasing</w:t>
      </w:r>
      <w:r w:rsidR="005B1C94" w:rsidRPr="004A1A26">
        <w:t xml:space="preserve"> rapidly</w:t>
      </w:r>
      <w:r w:rsidR="00B77A5C" w:rsidRPr="004A1A26">
        <w:t xml:space="preserve">. </w:t>
      </w:r>
      <w:proofErr w:type="gramStart"/>
      <w:r w:rsidR="00B77A5C" w:rsidRPr="004A1A26">
        <w:t>As a consequence</w:t>
      </w:r>
      <w:proofErr w:type="gramEnd"/>
      <w:r w:rsidR="00B77A5C" w:rsidRPr="004A1A26">
        <w:t xml:space="preserve">, the public has </w:t>
      </w:r>
      <w:r w:rsidR="00D02A12" w:rsidRPr="004A1A26">
        <w:t xml:space="preserve">generated a demand for </w:t>
      </w:r>
      <w:r w:rsidR="00B77A5C" w:rsidRPr="004A1A26">
        <w:t xml:space="preserve">change. The availability of targeted information can further empower individuals to be prepared and manage health risks in response to environmental hazards, </w:t>
      </w:r>
      <w:r w:rsidR="000A3AB0" w:rsidRPr="004A1A26">
        <w:t>illustrated</w:t>
      </w:r>
      <w:r w:rsidR="005B1C94" w:rsidRPr="004A1A26">
        <w:t>,</w:t>
      </w:r>
      <w:r w:rsidR="00375A5D">
        <w:t xml:space="preserve"> </w:t>
      </w:r>
      <w:r w:rsidR="00B77A5C" w:rsidRPr="004A1A26">
        <w:t>for example</w:t>
      </w:r>
      <w:r w:rsidR="005B1C94" w:rsidRPr="004A1A26">
        <w:t>,</w:t>
      </w:r>
      <w:r w:rsidR="00375A5D">
        <w:t xml:space="preserve"> </w:t>
      </w:r>
      <w:r w:rsidR="005B1C94" w:rsidRPr="004A1A26">
        <w:t xml:space="preserve">by </w:t>
      </w:r>
      <w:r w:rsidR="00B77A5C" w:rsidRPr="004A1A26">
        <w:t xml:space="preserve">the Know &amp; Respond information system in Scotland, or the </w:t>
      </w:r>
      <w:r w:rsidR="00F340B7" w:rsidRPr="004A1A26">
        <w:t>United Kingdom of Great Britain and Northern Ireland</w:t>
      </w:r>
      <w:r w:rsidR="00B77A5C" w:rsidRPr="004A1A26">
        <w:t xml:space="preserve">-wide air pollution forecast provided by the </w:t>
      </w:r>
      <w:r w:rsidR="0053411A" w:rsidRPr="004A1A26">
        <w:t>U</w:t>
      </w:r>
      <w:r w:rsidR="00CF4358" w:rsidRPr="004A1A26">
        <w:t>K</w:t>
      </w:r>
      <w:r w:rsidR="0042270D">
        <w:t>,</w:t>
      </w:r>
      <w:r w:rsidR="00375A5D">
        <w:t xml:space="preserve"> </w:t>
      </w:r>
      <w:r w:rsidR="00B77A5C" w:rsidRPr="004A1A26">
        <w:t>Department for Environment, Food and Rural Affairs</w:t>
      </w:r>
      <w:r w:rsidR="0053411A" w:rsidRPr="004A1A26">
        <w:t xml:space="preserve"> (</w:t>
      </w:r>
      <w:r w:rsidR="00F340B7" w:rsidRPr="004A1A26">
        <w:t>2018</w:t>
      </w:r>
      <w:r w:rsidR="0053411A" w:rsidRPr="004A1A26">
        <w:t>)</w:t>
      </w:r>
      <w:r w:rsidR="005B1C94" w:rsidRPr="004A1A26">
        <w:t>.</w:t>
      </w:r>
      <w:r w:rsidR="00375A5D">
        <w:t xml:space="preserve"> </w:t>
      </w:r>
      <w:r w:rsidR="00B77A5C" w:rsidRPr="004A1A26">
        <w:t>Know &amp; Respond is a free service to subscribers in Scotland that sends registered users an alert message if air pollution in their area is forecast to be moderate, high or very high</w:t>
      </w:r>
      <w:r w:rsidR="0053411A" w:rsidRPr="004A1A26">
        <w:t xml:space="preserve"> (</w:t>
      </w:r>
      <w:r w:rsidR="0042270D" w:rsidRPr="0042270D">
        <w:t>Air Quality in Scotland</w:t>
      </w:r>
      <w:r w:rsidR="0042270D">
        <w:t xml:space="preserve"> </w:t>
      </w:r>
      <w:r w:rsidR="00F340B7" w:rsidRPr="004A1A26">
        <w:t>2018</w:t>
      </w:r>
      <w:r w:rsidR="0053411A" w:rsidRPr="004A1A26">
        <w:t>)</w:t>
      </w:r>
      <w:r w:rsidR="00D61152" w:rsidRPr="004A1A26">
        <w:t>.</w:t>
      </w:r>
    </w:p>
    <w:p w14:paraId="653C3D59" w14:textId="77777777" w:rsidR="00F340B7" w:rsidRPr="00375A5D" w:rsidRDefault="00F32F98" w:rsidP="00375A5D">
      <w:pPr>
        <w:pStyle w:val="Heading4"/>
      </w:pPr>
      <w:bookmarkStart w:id="39" w:name="_Toc516842470"/>
      <w:r w:rsidRPr="00375A5D">
        <w:t xml:space="preserve">Case </w:t>
      </w:r>
      <w:r w:rsidR="005B1C94" w:rsidRPr="00375A5D">
        <w:t>s</w:t>
      </w:r>
      <w:r w:rsidRPr="00375A5D">
        <w:t xml:space="preserve">tudy: </w:t>
      </w:r>
      <w:proofErr w:type="spellStart"/>
      <w:r w:rsidRPr="00375A5D">
        <w:t>AirNow</w:t>
      </w:r>
      <w:proofErr w:type="spellEnd"/>
      <w:r w:rsidRPr="00375A5D">
        <w:t>, real</w:t>
      </w:r>
      <w:r w:rsidR="005B1C94" w:rsidRPr="00375A5D">
        <w:t>-</w:t>
      </w:r>
      <w:r w:rsidRPr="00375A5D">
        <w:t>time air quality data and forecasts</w:t>
      </w:r>
      <w:bookmarkEnd w:id="39"/>
    </w:p>
    <w:p w14:paraId="530A7D49" w14:textId="77777777" w:rsidR="00F340B7" w:rsidRPr="004A1A26" w:rsidRDefault="00F32F98" w:rsidP="00B477F5">
      <w:r w:rsidRPr="004A1A26">
        <w:t xml:space="preserve">In </w:t>
      </w:r>
      <w:r w:rsidR="00F340B7" w:rsidRPr="004A1A26">
        <w:t>1995</w:t>
      </w:r>
      <w:r w:rsidRPr="004A1A26">
        <w:t xml:space="preserve">, the American Lung Association of Maryland, a </w:t>
      </w:r>
      <w:r w:rsidR="00F340B7" w:rsidRPr="004A1A26">
        <w:t>non-</w:t>
      </w:r>
      <w:r w:rsidRPr="004A1A26">
        <w:t xml:space="preserve">governmental advocacy group, began to create a daily map of ozone observations from the monitors operated by the State of Maryland (state and local governments are responsible for operating air quality monitoring stations in the United States). In </w:t>
      </w:r>
      <w:r w:rsidR="00F340B7" w:rsidRPr="004A1A26">
        <w:t>1997</w:t>
      </w:r>
      <w:r w:rsidRPr="004A1A26">
        <w:t xml:space="preserve">, the daily ozone maps were expanded to 14 </w:t>
      </w:r>
      <w:r w:rsidR="005B1C94" w:rsidRPr="004A1A26">
        <w:t>n</w:t>
      </w:r>
      <w:r w:rsidRPr="004A1A26">
        <w:t>orth</w:t>
      </w:r>
      <w:r w:rsidR="005B1C94" w:rsidRPr="004A1A26">
        <w:t>-</w:t>
      </w:r>
      <w:r w:rsidRPr="004A1A26">
        <w:t>east</w:t>
      </w:r>
      <w:r w:rsidR="005B1C94" w:rsidRPr="004A1A26">
        <w:t>ern</w:t>
      </w:r>
      <w:r w:rsidRPr="004A1A26">
        <w:t xml:space="preserve"> states. In </w:t>
      </w:r>
      <w:r w:rsidR="00F340B7" w:rsidRPr="004A1A26">
        <w:t>1998</w:t>
      </w:r>
      <w:r w:rsidRPr="004A1A26">
        <w:t xml:space="preserve">, the USEPA took over the operation of the central data system, added </w:t>
      </w:r>
      <w:r w:rsidR="005B1C94" w:rsidRPr="004A1A26">
        <w:t>seven</w:t>
      </w:r>
      <w:r w:rsidRPr="004A1A26">
        <w:t xml:space="preserve"> more states and named the system </w:t>
      </w:r>
      <w:proofErr w:type="spellStart"/>
      <w:r w:rsidRPr="004A1A26">
        <w:t>AirNow</w:t>
      </w:r>
      <w:proofErr w:type="spellEnd"/>
      <w:r w:rsidRPr="004A1A26">
        <w:t xml:space="preserve"> (http://airnow.gov/).</w:t>
      </w:r>
    </w:p>
    <w:p w14:paraId="54754052" w14:textId="77777777" w:rsidR="00F340B7" w:rsidRPr="004A1A26" w:rsidRDefault="00F32F98" w:rsidP="00B477F5">
      <w:r w:rsidRPr="004A1A26">
        <w:lastRenderedPageBreak/>
        <w:t xml:space="preserve">Over the next 10 years, </w:t>
      </w:r>
      <w:proofErr w:type="spellStart"/>
      <w:r w:rsidRPr="004A1A26">
        <w:t>AirNow</w:t>
      </w:r>
      <w:proofErr w:type="spellEnd"/>
      <w:r w:rsidRPr="004A1A26">
        <w:t xml:space="preserve"> grew as more states and local agencies contributed their data. By </w:t>
      </w:r>
      <w:r w:rsidR="00F340B7" w:rsidRPr="004A1A26">
        <w:t>2008</w:t>
      </w:r>
      <w:r w:rsidRPr="004A1A26">
        <w:t xml:space="preserve">, agencies in all 50 </w:t>
      </w:r>
      <w:r w:rsidR="005B1C94" w:rsidRPr="004A1A26">
        <w:t xml:space="preserve">US </w:t>
      </w:r>
      <w:r w:rsidRPr="004A1A26">
        <w:t xml:space="preserve">states, 4 Canadian provinces and the national government, and 2 Mexican states were submitting data. Over time, the data system and product delivery were improved incrementally, experimenting with new products and services. In </w:t>
      </w:r>
      <w:r w:rsidR="00F340B7" w:rsidRPr="004A1A26">
        <w:t>2009</w:t>
      </w:r>
      <w:r w:rsidRPr="004A1A26">
        <w:t xml:space="preserve">, the system architecture and software tools were overhauled to allow the software to be implemented in different settings. The new software, branded </w:t>
      </w:r>
      <w:proofErr w:type="spellStart"/>
      <w:r w:rsidRPr="004A1A26">
        <w:t>AirNow</w:t>
      </w:r>
      <w:proofErr w:type="spellEnd"/>
      <w:r w:rsidRPr="004A1A26">
        <w:t xml:space="preserve">-International, was deployed in Shanghai, China, for the </w:t>
      </w:r>
      <w:r w:rsidR="00F340B7" w:rsidRPr="004A1A26">
        <w:t>2010</w:t>
      </w:r>
      <w:r w:rsidRPr="004A1A26">
        <w:t xml:space="preserve"> World Expo, and in Monterrey, Mexico, in </w:t>
      </w:r>
      <w:r w:rsidR="00F340B7" w:rsidRPr="004A1A26">
        <w:t>2012</w:t>
      </w:r>
      <w:r w:rsidRPr="004A1A26">
        <w:t>.</w:t>
      </w:r>
    </w:p>
    <w:p w14:paraId="31316BB9" w14:textId="77777777" w:rsidR="00F340B7" w:rsidRPr="004A1A26" w:rsidRDefault="00F32F98" w:rsidP="00B477F5">
      <w:bookmarkStart w:id="40" w:name="_44sinio" w:colFirst="0" w:colLast="0"/>
      <w:bookmarkEnd w:id="40"/>
      <w:proofErr w:type="spellStart"/>
      <w:r w:rsidRPr="004A1A26">
        <w:t>AirNow</w:t>
      </w:r>
      <w:proofErr w:type="spellEnd"/>
      <w:r w:rsidRPr="004A1A26">
        <w:t xml:space="preserve"> currently gathers and distributes observations and forecasts from more than 130 federal, state and local agencies. Data for the United States is provided to the public and the media using the Air Quality Index (AQI), a </w:t>
      </w:r>
      <w:r w:rsidR="00F340B7" w:rsidRPr="004A1A26">
        <w:t>colour</w:t>
      </w:r>
      <w:r w:rsidRPr="004A1A26">
        <w:t>-coded and numeric</w:t>
      </w:r>
      <w:r w:rsidR="005B1C94" w:rsidRPr="004A1A26">
        <w:t>al</w:t>
      </w:r>
      <w:r w:rsidRPr="004A1A26">
        <w:t xml:space="preserve"> scale based on the US National Ambient Air Quality Standards. An applications pr</w:t>
      </w:r>
      <w:r w:rsidR="00F340B7" w:rsidRPr="004A1A26">
        <w:t>ogra</w:t>
      </w:r>
      <w:r w:rsidRPr="004A1A26">
        <w:t>mming interface (API) has opened the data system to smart phone applications</w:t>
      </w:r>
      <w:r w:rsidR="005B1C94" w:rsidRPr="004A1A26">
        <w:t>,</w:t>
      </w:r>
      <w:r w:rsidRPr="004A1A26">
        <w:t xml:space="preserve"> which have proliferated. </w:t>
      </w:r>
      <w:proofErr w:type="spellStart"/>
      <w:r w:rsidRPr="004A1A26">
        <w:t>AirNow</w:t>
      </w:r>
      <w:proofErr w:type="spellEnd"/>
      <w:r w:rsidRPr="004A1A26">
        <w:t>-International has increased its scope ge</w:t>
      </w:r>
      <w:r w:rsidR="00F340B7" w:rsidRPr="004A1A26">
        <w:t>ogra</w:t>
      </w:r>
      <w:r w:rsidRPr="004A1A26">
        <w:t>phically</w:t>
      </w:r>
      <w:r w:rsidR="005B1C94" w:rsidRPr="004A1A26">
        <w:t>,</w:t>
      </w:r>
      <w:r w:rsidRPr="004A1A26">
        <w:t xml:space="preserve"> and the US Department of State has begun providing air quality observations from selected US embassies and consulates around the world.</w:t>
      </w:r>
    </w:p>
    <w:p w14:paraId="4FFE5B31" w14:textId="34C2CF66" w:rsidR="007B1C0E" w:rsidRPr="004A1A26" w:rsidRDefault="00AE00C2" w:rsidP="00375A5D">
      <w:pPr>
        <w:pStyle w:val="Caption"/>
        <w:keepNext/>
        <w:keepLines/>
      </w:pPr>
      <w:r w:rsidRPr="004A1A26">
        <w:lastRenderedPageBreak/>
        <w:t xml:space="preserve">Table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00AA4BDC" w:rsidRPr="004A1A26">
        <w:t>.</w:t>
      </w:r>
      <w:r w:rsidR="00350B00" w:rsidRPr="004A1A26">
        <w:rPr>
          <w:noProof/>
        </w:rPr>
        <w:fldChar w:fldCharType="begin"/>
      </w:r>
      <w:r w:rsidR="00D169A0" w:rsidRPr="004A1A26">
        <w:rPr>
          <w:noProof/>
        </w:rPr>
        <w:instrText xml:space="preserve"> SEQ Table \* ARABIC \s 1 </w:instrText>
      </w:r>
      <w:r w:rsidR="00350B00" w:rsidRPr="004A1A26">
        <w:rPr>
          <w:noProof/>
        </w:rPr>
        <w:fldChar w:fldCharType="separate"/>
      </w:r>
      <w:r w:rsidR="00430786" w:rsidRPr="004A1A26">
        <w:rPr>
          <w:noProof/>
        </w:rPr>
        <w:t>5</w:t>
      </w:r>
      <w:r w:rsidR="00350B00" w:rsidRPr="004A1A26">
        <w:rPr>
          <w:noProof/>
        </w:rPr>
        <w:fldChar w:fldCharType="end"/>
      </w:r>
      <w:r w:rsidRPr="004A1A26">
        <w:t xml:space="preserve">: Summary of </w:t>
      </w:r>
      <w:r w:rsidR="005B1C94" w:rsidRPr="004A1A26">
        <w:t>a</w:t>
      </w:r>
      <w:r w:rsidRPr="004A1A26">
        <w:t xml:space="preserve">ssessment </w:t>
      </w:r>
      <w:r w:rsidR="005B1C94" w:rsidRPr="004A1A26">
        <w:t>c</w:t>
      </w:r>
      <w:r w:rsidRPr="004A1A26">
        <w:t>riteria</w:t>
      </w:r>
      <w:r w:rsidR="005B1C94" w:rsidRPr="004A1A26">
        <w:t>:</w:t>
      </w:r>
      <w:r w:rsidR="0042270D">
        <w:t xml:space="preserve"> </w:t>
      </w:r>
      <w:proofErr w:type="spellStart"/>
      <w:r w:rsidRPr="004A1A26">
        <w:t>AirNow</w:t>
      </w:r>
      <w:proofErr w:type="spellEnd"/>
      <w:r w:rsidRPr="004A1A26">
        <w:t xml:space="preserve">, </w:t>
      </w:r>
      <w:r w:rsidR="005B1C94" w:rsidRPr="004A1A26">
        <w:t>r</w:t>
      </w:r>
      <w:r w:rsidRPr="004A1A26">
        <w:t>eal</w:t>
      </w:r>
      <w:r w:rsidR="005B1C94" w:rsidRPr="004A1A26">
        <w:t>-t</w:t>
      </w:r>
      <w:r w:rsidRPr="004A1A26">
        <w:t xml:space="preserve">ime </w:t>
      </w:r>
      <w:r w:rsidR="005B1C94" w:rsidRPr="004A1A26">
        <w:t>a</w:t>
      </w:r>
      <w:r w:rsidRPr="004A1A26">
        <w:t xml:space="preserve">ir </w:t>
      </w:r>
      <w:r w:rsidR="005B1C94" w:rsidRPr="004A1A26">
        <w:t>q</w:t>
      </w:r>
      <w:r w:rsidRPr="004A1A26">
        <w:t xml:space="preserve">uality </w:t>
      </w:r>
      <w:r w:rsidR="005B1C94" w:rsidRPr="004A1A26">
        <w:t>d</w:t>
      </w:r>
      <w:r w:rsidRPr="004A1A26">
        <w:t xml:space="preserve">ata and </w:t>
      </w:r>
      <w:r w:rsidR="005B1C94" w:rsidRPr="004A1A26">
        <w:t>f</w:t>
      </w:r>
      <w:r w:rsidRPr="004A1A26">
        <w:t>orecasts</w:t>
      </w:r>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4984"/>
        <w:gridCol w:w="2234"/>
      </w:tblGrid>
      <w:tr w:rsidR="00911D19" w:rsidRPr="00113D17" w14:paraId="50D1A706" w14:textId="77777777" w:rsidTr="00AC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tcPr>
          <w:p w14:paraId="6BFD4F79" w14:textId="77777777" w:rsidR="007B1C0E" w:rsidRPr="00113D17" w:rsidRDefault="007B1C0E" w:rsidP="00375A5D">
            <w:pPr>
              <w:pStyle w:val="TableText"/>
              <w:keepNext/>
              <w:keepLines/>
              <w:spacing w:before="0" w:after="0" w:line="240" w:lineRule="auto"/>
              <w:rPr>
                <w:sz w:val="20"/>
              </w:rPr>
            </w:pPr>
            <w:bookmarkStart w:id="41" w:name="_Hlk516668089"/>
            <w:r w:rsidRPr="00113D17">
              <w:rPr>
                <w:sz w:val="20"/>
              </w:rPr>
              <w:t>Criterion</w:t>
            </w:r>
          </w:p>
        </w:tc>
        <w:tc>
          <w:tcPr>
            <w:tcW w:w="5103" w:type="dxa"/>
            <w:tcBorders>
              <w:top w:val="single" w:sz="4" w:space="0" w:color="auto"/>
            </w:tcBorders>
          </w:tcPr>
          <w:p w14:paraId="6FDECBA4" w14:textId="77777777" w:rsidR="007B1C0E" w:rsidRPr="00113D17" w:rsidRDefault="007B1C0E" w:rsidP="00375A5D">
            <w:pPr>
              <w:pStyle w:val="Table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113D17">
              <w:rPr>
                <w:sz w:val="20"/>
              </w:rPr>
              <w:t>Assessment</w:t>
            </w:r>
          </w:p>
        </w:tc>
        <w:tc>
          <w:tcPr>
            <w:tcW w:w="2268" w:type="dxa"/>
            <w:tcBorders>
              <w:top w:val="single" w:sz="4" w:space="0" w:color="auto"/>
            </w:tcBorders>
          </w:tcPr>
          <w:p w14:paraId="513747FD" w14:textId="77777777" w:rsidR="007B1C0E" w:rsidRPr="00113D17" w:rsidRDefault="007B1C0E" w:rsidP="00375A5D">
            <w:pPr>
              <w:pStyle w:val="Table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113D17">
              <w:rPr>
                <w:sz w:val="20"/>
              </w:rPr>
              <w:t>Reference</w:t>
            </w:r>
          </w:p>
        </w:tc>
      </w:tr>
      <w:tr w:rsidR="00911D19" w:rsidRPr="00113D17" w14:paraId="0769AD02"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018386" w14:textId="77777777" w:rsidR="00911D19" w:rsidRPr="00113D17" w:rsidRDefault="00911D19" w:rsidP="00375A5D">
            <w:pPr>
              <w:pStyle w:val="TableText"/>
              <w:keepNext/>
              <w:keepLines/>
              <w:spacing w:before="0" w:after="0" w:line="240" w:lineRule="auto"/>
              <w:rPr>
                <w:sz w:val="20"/>
              </w:rPr>
            </w:pPr>
            <w:r w:rsidRPr="00113D17">
              <w:rPr>
                <w:sz w:val="20"/>
              </w:rPr>
              <w:t xml:space="preserve">Success or </w:t>
            </w:r>
            <w:r w:rsidR="005B1C94" w:rsidRPr="00113D17">
              <w:rPr>
                <w:sz w:val="20"/>
              </w:rPr>
              <w:t>f</w:t>
            </w:r>
            <w:r w:rsidRPr="00113D17">
              <w:rPr>
                <w:sz w:val="20"/>
              </w:rPr>
              <w:t>ailure</w:t>
            </w:r>
          </w:p>
        </w:tc>
        <w:tc>
          <w:tcPr>
            <w:tcW w:w="5103" w:type="dxa"/>
          </w:tcPr>
          <w:p w14:paraId="531F6633" w14:textId="6AA62F10"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bookmarkStart w:id="42" w:name="_Hlk516670288"/>
            <w:r w:rsidRPr="00113D17">
              <w:rPr>
                <w:sz w:val="20"/>
              </w:rPr>
              <w:t xml:space="preserve">Studies have demonstrated increased awareness due to alerts, but changes </w:t>
            </w:r>
            <w:r w:rsidR="00D61152" w:rsidRPr="00113D17">
              <w:rPr>
                <w:sz w:val="20"/>
              </w:rPr>
              <w:t>i</w:t>
            </w:r>
            <w:r w:rsidRPr="00113D17">
              <w:rPr>
                <w:sz w:val="20"/>
              </w:rPr>
              <w:t xml:space="preserve">n </w:t>
            </w:r>
            <w:r w:rsidR="0036672D" w:rsidRPr="00113D17">
              <w:rPr>
                <w:sz w:val="20"/>
              </w:rPr>
              <w:t>lifestyle</w:t>
            </w:r>
            <w:r w:rsidR="00375A5D">
              <w:rPr>
                <w:sz w:val="20"/>
              </w:rPr>
              <w:t xml:space="preserve"> </w:t>
            </w:r>
            <w:r w:rsidR="00F340B7" w:rsidRPr="00113D17">
              <w:rPr>
                <w:sz w:val="20"/>
              </w:rPr>
              <w:t>(e.g.</w:t>
            </w:r>
            <w:r w:rsidRPr="00113D17">
              <w:rPr>
                <w:sz w:val="20"/>
              </w:rPr>
              <w:t xml:space="preserve"> decreased driving, energy consumption) are more difficult to quantify. </w:t>
            </w:r>
            <w:bookmarkEnd w:id="42"/>
          </w:p>
        </w:tc>
        <w:tc>
          <w:tcPr>
            <w:tcW w:w="2268" w:type="dxa"/>
            <w:vMerge w:val="restart"/>
          </w:tcPr>
          <w:p w14:paraId="3CA752B0" w14:textId="32DBC9E2" w:rsidR="00F90D34" w:rsidRDefault="003C78F2"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br/>
            </w:r>
            <w:proofErr w:type="spellStart"/>
            <w:r w:rsidR="00F90D34" w:rsidRPr="00113D17">
              <w:rPr>
                <w:sz w:val="20"/>
              </w:rPr>
              <w:t>Blanken</w:t>
            </w:r>
            <w:proofErr w:type="spellEnd"/>
            <w:r w:rsidR="00F90D34">
              <w:rPr>
                <w:sz w:val="20"/>
              </w:rPr>
              <w:t xml:space="preserve">, Dillon and </w:t>
            </w:r>
            <w:proofErr w:type="spellStart"/>
            <w:r w:rsidR="00F90D34">
              <w:rPr>
                <w:sz w:val="20"/>
              </w:rPr>
              <w:t>Wismann</w:t>
            </w:r>
            <w:proofErr w:type="spellEnd"/>
            <w:r w:rsidR="00F90D34">
              <w:rPr>
                <w:sz w:val="20"/>
              </w:rPr>
              <w:t xml:space="preserve"> </w:t>
            </w:r>
            <w:r w:rsidR="00F90D34" w:rsidRPr="00113D17">
              <w:rPr>
                <w:sz w:val="20"/>
              </w:rPr>
              <w:t>2001</w:t>
            </w:r>
            <w:r w:rsidR="00F90D34">
              <w:rPr>
                <w:sz w:val="20"/>
              </w:rPr>
              <w:t xml:space="preserve">; </w:t>
            </w:r>
            <w:r w:rsidR="00F90D34" w:rsidRPr="00113D17">
              <w:rPr>
                <w:sz w:val="20"/>
              </w:rPr>
              <w:t>Henry and Gordon 2003</w:t>
            </w:r>
            <w:r w:rsidR="00F90D34">
              <w:rPr>
                <w:sz w:val="20"/>
              </w:rPr>
              <w:t xml:space="preserve">; </w:t>
            </w:r>
            <w:r w:rsidR="00911D19" w:rsidRPr="00113D17">
              <w:rPr>
                <w:sz w:val="20"/>
              </w:rPr>
              <w:t xml:space="preserve">Mansfield and Corey </w:t>
            </w:r>
            <w:r w:rsidR="00F340B7" w:rsidRPr="00113D17">
              <w:rPr>
                <w:sz w:val="20"/>
              </w:rPr>
              <w:t>2003</w:t>
            </w:r>
            <w:r w:rsidR="005B1C94" w:rsidRPr="00113D17">
              <w:rPr>
                <w:sz w:val="20"/>
              </w:rPr>
              <w:t>;</w:t>
            </w:r>
            <w:r w:rsidR="009732D0">
              <w:rPr>
                <w:sz w:val="20"/>
              </w:rPr>
              <w:t xml:space="preserve"> </w:t>
            </w:r>
            <w:r w:rsidR="004A7CBC">
              <w:rPr>
                <w:rFonts w:ascii="Segoe UI" w:eastAsia="MS Mincho" w:hAnsi="Segoe UI" w:cs="Segoe UI"/>
                <w:sz w:val="18"/>
                <w:szCs w:val="18"/>
                <w:lang w:val="en-US"/>
              </w:rPr>
              <w:t xml:space="preserve">Kansas Department of Health and </w:t>
            </w:r>
            <w:proofErr w:type="gramStart"/>
            <w:r w:rsidR="004A7CBC">
              <w:rPr>
                <w:rFonts w:ascii="Segoe UI" w:eastAsia="MS Mincho" w:hAnsi="Segoe UI" w:cs="Segoe UI"/>
                <w:sz w:val="18"/>
                <w:szCs w:val="18"/>
                <w:lang w:val="en-US"/>
              </w:rPr>
              <w:t xml:space="preserve">Environment </w:t>
            </w:r>
            <w:r w:rsidR="009732D0" w:rsidRPr="00113D17">
              <w:rPr>
                <w:sz w:val="20"/>
              </w:rPr>
              <w:t xml:space="preserve"> 2006</w:t>
            </w:r>
            <w:proofErr w:type="gramEnd"/>
            <w:r w:rsidR="009732D0" w:rsidRPr="00113D17">
              <w:rPr>
                <w:sz w:val="20"/>
              </w:rPr>
              <w:t>;</w:t>
            </w:r>
            <w:r w:rsidR="005B1C94" w:rsidRPr="00113D17">
              <w:rPr>
                <w:sz w:val="20"/>
              </w:rPr>
              <w:t xml:space="preserve"> </w:t>
            </w:r>
            <w:r w:rsidRPr="00113D17">
              <w:rPr>
                <w:sz w:val="20"/>
              </w:rPr>
              <w:br/>
            </w:r>
            <w:r w:rsidR="00911D19" w:rsidRPr="00113D17">
              <w:rPr>
                <w:sz w:val="20"/>
              </w:rPr>
              <w:t>Mansfield</w:t>
            </w:r>
            <w:r w:rsidR="00F90D34" w:rsidRPr="00F90D34">
              <w:rPr>
                <w:sz w:val="20"/>
              </w:rPr>
              <w:t xml:space="preserve">, Johnson and von </w:t>
            </w:r>
            <w:proofErr w:type="spellStart"/>
            <w:r w:rsidR="00F90D34" w:rsidRPr="00F90D34">
              <w:rPr>
                <w:sz w:val="20"/>
              </w:rPr>
              <w:t>Houtven</w:t>
            </w:r>
            <w:proofErr w:type="spellEnd"/>
            <w:r w:rsidR="00F90D34">
              <w:rPr>
                <w:i/>
                <w:sz w:val="20"/>
              </w:rPr>
              <w:t xml:space="preserve"> </w:t>
            </w:r>
            <w:r w:rsidR="00F340B7" w:rsidRPr="00113D17">
              <w:rPr>
                <w:sz w:val="20"/>
              </w:rPr>
              <w:t>2006</w:t>
            </w:r>
            <w:r w:rsidR="005B1C94" w:rsidRPr="00113D17">
              <w:rPr>
                <w:sz w:val="20"/>
              </w:rPr>
              <w:t>;</w:t>
            </w:r>
          </w:p>
          <w:p w14:paraId="1FBF47F3" w14:textId="35FB45F0" w:rsidR="00F90D34" w:rsidRDefault="00F90D34"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McDermott</w:t>
            </w:r>
            <w:r>
              <w:rPr>
                <w:sz w:val="20"/>
              </w:rPr>
              <w:t xml:space="preserve">, Srivastava and </w:t>
            </w:r>
            <w:proofErr w:type="spellStart"/>
            <w:r>
              <w:rPr>
                <w:sz w:val="20"/>
              </w:rPr>
              <w:t>Croskell</w:t>
            </w:r>
            <w:proofErr w:type="spellEnd"/>
            <w:r>
              <w:rPr>
                <w:sz w:val="20"/>
              </w:rPr>
              <w:t xml:space="preserve"> 2006; </w:t>
            </w:r>
            <w:proofErr w:type="spellStart"/>
            <w:r w:rsidRPr="00113D17">
              <w:rPr>
                <w:sz w:val="20"/>
              </w:rPr>
              <w:t>Semenza</w:t>
            </w:r>
            <w:proofErr w:type="spellEnd"/>
            <w:r>
              <w:rPr>
                <w:sz w:val="20"/>
              </w:rPr>
              <w:t xml:space="preserve"> </w:t>
            </w:r>
            <w:r w:rsidRPr="00113D17">
              <w:rPr>
                <w:i/>
                <w:sz w:val="20"/>
              </w:rPr>
              <w:t>et al.</w:t>
            </w:r>
            <w:r>
              <w:rPr>
                <w:i/>
                <w:sz w:val="20"/>
              </w:rPr>
              <w:t xml:space="preserve"> </w:t>
            </w:r>
            <w:r w:rsidRPr="00113D17">
              <w:rPr>
                <w:sz w:val="20"/>
              </w:rPr>
              <w:t xml:space="preserve">2008; </w:t>
            </w:r>
            <w:r w:rsidR="005B1C94" w:rsidRPr="00113D17">
              <w:rPr>
                <w:sz w:val="20"/>
              </w:rPr>
              <w:t xml:space="preserve"> </w:t>
            </w:r>
            <w:r w:rsidR="003C78F2" w:rsidRPr="00113D17">
              <w:rPr>
                <w:sz w:val="20"/>
              </w:rPr>
              <w:br/>
            </w:r>
            <w:r w:rsidR="00911D19" w:rsidRPr="00113D17">
              <w:rPr>
                <w:sz w:val="20"/>
              </w:rPr>
              <w:t>Mansfield</w:t>
            </w:r>
            <w:r>
              <w:rPr>
                <w:i/>
                <w:sz w:val="20"/>
              </w:rPr>
              <w:t xml:space="preserve">, </w:t>
            </w:r>
            <w:r>
              <w:rPr>
                <w:sz w:val="20"/>
              </w:rPr>
              <w:t xml:space="preserve">Sinha and </w:t>
            </w:r>
            <w:proofErr w:type="spellStart"/>
            <w:r>
              <w:rPr>
                <w:sz w:val="20"/>
              </w:rPr>
              <w:t>Henrion</w:t>
            </w:r>
            <w:proofErr w:type="spellEnd"/>
            <w:r>
              <w:rPr>
                <w:sz w:val="20"/>
              </w:rPr>
              <w:t xml:space="preserve"> </w:t>
            </w:r>
            <w:r w:rsidR="00F340B7" w:rsidRPr="00113D17">
              <w:rPr>
                <w:sz w:val="20"/>
              </w:rPr>
              <w:t>2009</w:t>
            </w:r>
            <w:r w:rsidR="005B1C94" w:rsidRPr="00113D17">
              <w:rPr>
                <w:sz w:val="20"/>
              </w:rPr>
              <w:t>;</w:t>
            </w:r>
          </w:p>
          <w:p w14:paraId="76A0870B" w14:textId="44BE5506" w:rsidR="00911D19" w:rsidRPr="00113D17" w:rsidRDefault="00F90D34"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113D17">
              <w:rPr>
                <w:sz w:val="20"/>
              </w:rPr>
              <w:t>Neidell</w:t>
            </w:r>
            <w:proofErr w:type="spellEnd"/>
            <w:r>
              <w:rPr>
                <w:sz w:val="20"/>
              </w:rPr>
              <w:t xml:space="preserve"> </w:t>
            </w:r>
            <w:r w:rsidRPr="00113D17">
              <w:rPr>
                <w:sz w:val="20"/>
              </w:rPr>
              <w:t>200</w:t>
            </w:r>
            <w:r>
              <w:rPr>
                <w:sz w:val="20"/>
              </w:rPr>
              <w:t>8</w:t>
            </w:r>
            <w:r w:rsidR="003C78F2" w:rsidRPr="00113D17">
              <w:rPr>
                <w:sz w:val="20"/>
              </w:rPr>
              <w:br/>
            </w:r>
            <w:r w:rsidR="003C78F2" w:rsidRPr="00113D17">
              <w:rPr>
                <w:sz w:val="20"/>
              </w:rPr>
              <w:br/>
            </w:r>
            <w:r w:rsidR="003C78F2" w:rsidRPr="00113D17">
              <w:rPr>
                <w:sz w:val="20"/>
              </w:rPr>
              <w:br/>
            </w:r>
          </w:p>
        </w:tc>
      </w:tr>
      <w:tr w:rsidR="00911D19" w:rsidRPr="00113D17" w14:paraId="4BEC719D"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7C1ECA83" w14:textId="77777777" w:rsidR="00911D19" w:rsidRPr="00113D17" w:rsidRDefault="00911D19" w:rsidP="00375A5D">
            <w:pPr>
              <w:pStyle w:val="TableText"/>
              <w:keepNext/>
              <w:keepLines/>
              <w:spacing w:before="0" w:after="0" w:line="240" w:lineRule="auto"/>
              <w:rPr>
                <w:sz w:val="20"/>
              </w:rPr>
            </w:pPr>
            <w:bookmarkStart w:id="43" w:name="_Hlk516665718"/>
            <w:r w:rsidRPr="00113D17">
              <w:rPr>
                <w:sz w:val="20"/>
              </w:rPr>
              <w:t xml:space="preserve">Independence of </w:t>
            </w:r>
            <w:r w:rsidR="005B1C94" w:rsidRPr="00113D17">
              <w:rPr>
                <w:sz w:val="20"/>
              </w:rPr>
              <w:t>e</w:t>
            </w:r>
            <w:r w:rsidRPr="00113D17">
              <w:rPr>
                <w:sz w:val="20"/>
              </w:rPr>
              <w:t>valuation</w:t>
            </w:r>
            <w:bookmarkEnd w:id="43"/>
          </w:p>
        </w:tc>
        <w:tc>
          <w:tcPr>
            <w:tcW w:w="5103" w:type="dxa"/>
          </w:tcPr>
          <w:p w14:paraId="444C0AE9" w14:textId="77777777" w:rsidR="00911D19" w:rsidRPr="00113D17" w:rsidRDefault="00D61152"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Various studies</w:t>
            </w:r>
          </w:p>
        </w:tc>
        <w:tc>
          <w:tcPr>
            <w:tcW w:w="2268" w:type="dxa"/>
            <w:vMerge/>
          </w:tcPr>
          <w:p w14:paraId="344B6848"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911D19" w:rsidRPr="00113D17" w14:paraId="144B2B8F"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8CF7D9C" w14:textId="77777777" w:rsidR="00911D19" w:rsidRPr="00113D17" w:rsidRDefault="00911D19" w:rsidP="00375A5D">
            <w:pPr>
              <w:pStyle w:val="TableText"/>
              <w:keepNext/>
              <w:keepLines/>
              <w:spacing w:before="0" w:after="0" w:line="240" w:lineRule="auto"/>
              <w:rPr>
                <w:sz w:val="20"/>
              </w:rPr>
            </w:pPr>
            <w:r w:rsidRPr="00113D17">
              <w:rPr>
                <w:sz w:val="20"/>
              </w:rPr>
              <w:t xml:space="preserve">Key </w:t>
            </w:r>
            <w:r w:rsidR="005B1C94" w:rsidRPr="00113D17">
              <w:rPr>
                <w:sz w:val="20"/>
              </w:rPr>
              <w:t>a</w:t>
            </w:r>
            <w:r w:rsidRPr="00113D17">
              <w:rPr>
                <w:sz w:val="20"/>
              </w:rPr>
              <w:t>ctors</w:t>
            </w:r>
          </w:p>
        </w:tc>
        <w:tc>
          <w:tcPr>
            <w:tcW w:w="5103" w:type="dxa"/>
          </w:tcPr>
          <w:p w14:paraId="5B12A0E3"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National, state/provincial and local governments</w:t>
            </w:r>
          </w:p>
        </w:tc>
        <w:tc>
          <w:tcPr>
            <w:tcW w:w="2268" w:type="dxa"/>
            <w:vMerge/>
          </w:tcPr>
          <w:p w14:paraId="74B30EC9"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911D19" w:rsidRPr="00113D17" w14:paraId="3F50CB0A"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22D2CE37" w14:textId="77777777" w:rsidR="00911D19" w:rsidRPr="00113D17" w:rsidRDefault="00911D19" w:rsidP="00375A5D">
            <w:pPr>
              <w:pStyle w:val="TableText"/>
              <w:keepNext/>
              <w:keepLines/>
              <w:spacing w:before="0" w:after="0" w:line="240" w:lineRule="auto"/>
              <w:rPr>
                <w:sz w:val="20"/>
              </w:rPr>
            </w:pPr>
            <w:r w:rsidRPr="00113D17">
              <w:rPr>
                <w:sz w:val="20"/>
              </w:rPr>
              <w:t>Baseline</w:t>
            </w:r>
          </w:p>
        </w:tc>
        <w:tc>
          <w:tcPr>
            <w:tcW w:w="5103" w:type="dxa"/>
          </w:tcPr>
          <w:p w14:paraId="0C3DCF7A" w14:textId="77777777" w:rsidR="00911D19" w:rsidRPr="00113D17" w:rsidRDefault="00D61152"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Depends on the location</w:t>
            </w:r>
          </w:p>
        </w:tc>
        <w:tc>
          <w:tcPr>
            <w:tcW w:w="2268" w:type="dxa"/>
            <w:vMerge/>
          </w:tcPr>
          <w:p w14:paraId="3A4D3757"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911D19" w:rsidRPr="00113D17" w14:paraId="5D5FE332"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98A0E95" w14:textId="77777777" w:rsidR="00911D19" w:rsidRPr="00113D17" w:rsidRDefault="00911D19" w:rsidP="00375A5D">
            <w:pPr>
              <w:pStyle w:val="TableText"/>
              <w:keepNext/>
              <w:keepLines/>
              <w:spacing w:before="0" w:after="0" w:line="240" w:lineRule="auto"/>
              <w:rPr>
                <w:sz w:val="20"/>
              </w:rPr>
            </w:pPr>
            <w:r w:rsidRPr="00113D17">
              <w:rPr>
                <w:sz w:val="20"/>
              </w:rPr>
              <w:t>Timeframe</w:t>
            </w:r>
          </w:p>
        </w:tc>
        <w:tc>
          <w:tcPr>
            <w:tcW w:w="5103" w:type="dxa"/>
          </w:tcPr>
          <w:p w14:paraId="605E3CB3" w14:textId="659CB15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Between </w:t>
            </w:r>
            <w:r w:rsidR="00F340B7" w:rsidRPr="00113D17">
              <w:rPr>
                <w:sz w:val="20"/>
              </w:rPr>
              <w:t>1995</w:t>
            </w:r>
            <w:r w:rsidRPr="00113D17">
              <w:rPr>
                <w:sz w:val="20"/>
              </w:rPr>
              <w:t xml:space="preserve"> and </w:t>
            </w:r>
            <w:r w:rsidR="00F340B7" w:rsidRPr="00113D17">
              <w:rPr>
                <w:sz w:val="20"/>
              </w:rPr>
              <w:t>2008</w:t>
            </w:r>
            <w:r w:rsidRPr="00113D17">
              <w:rPr>
                <w:sz w:val="20"/>
              </w:rPr>
              <w:t>, the system evolved from an effort by one state to a system involving agencies in all 50 US states, 4 Canadian provinces and the national government, and 2 Mexican states.</w:t>
            </w:r>
            <w:r w:rsidR="00375A5D">
              <w:rPr>
                <w:sz w:val="20"/>
              </w:rPr>
              <w:t xml:space="preserve"> </w:t>
            </w:r>
            <w:r w:rsidRPr="00113D17">
              <w:rPr>
                <w:sz w:val="20"/>
              </w:rPr>
              <w:t xml:space="preserve">Currently, more than 130 federal, state and local agencies </w:t>
            </w:r>
            <w:r w:rsidR="005B1C94" w:rsidRPr="00113D17">
              <w:rPr>
                <w:sz w:val="20"/>
              </w:rPr>
              <w:t xml:space="preserve">are </w:t>
            </w:r>
            <w:r w:rsidRPr="00113D17">
              <w:rPr>
                <w:sz w:val="20"/>
              </w:rPr>
              <w:t>participat</w:t>
            </w:r>
            <w:r w:rsidR="005B1C94" w:rsidRPr="00113D17">
              <w:rPr>
                <w:sz w:val="20"/>
              </w:rPr>
              <w:t>ing</w:t>
            </w:r>
            <w:r w:rsidRPr="00113D17">
              <w:rPr>
                <w:sz w:val="20"/>
              </w:rPr>
              <w:t>.</w:t>
            </w:r>
          </w:p>
        </w:tc>
        <w:tc>
          <w:tcPr>
            <w:tcW w:w="2268" w:type="dxa"/>
            <w:vMerge/>
          </w:tcPr>
          <w:p w14:paraId="1A4B7F50"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911D19" w:rsidRPr="00113D17" w14:paraId="1BB7A315"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429BEBC7" w14:textId="77777777" w:rsidR="00911D19" w:rsidRPr="00113D17" w:rsidRDefault="00911D19" w:rsidP="00375A5D">
            <w:pPr>
              <w:pStyle w:val="TableText"/>
              <w:keepNext/>
              <w:keepLines/>
              <w:spacing w:before="0" w:after="0" w:line="240" w:lineRule="auto"/>
              <w:rPr>
                <w:sz w:val="20"/>
              </w:rPr>
            </w:pPr>
            <w:r w:rsidRPr="00113D17">
              <w:rPr>
                <w:sz w:val="20"/>
              </w:rPr>
              <w:t xml:space="preserve">Constraining factors </w:t>
            </w:r>
          </w:p>
        </w:tc>
        <w:tc>
          <w:tcPr>
            <w:tcW w:w="5103" w:type="dxa"/>
          </w:tcPr>
          <w:p w14:paraId="72B0F95F" w14:textId="77777777" w:rsidR="00F340B7"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 xml:space="preserve">Air quality information can generate anxiety about potential health effects and may encourage some people to seek </w:t>
            </w:r>
            <w:r w:rsidR="005B1C94" w:rsidRPr="00113D17">
              <w:rPr>
                <w:sz w:val="20"/>
              </w:rPr>
              <w:t xml:space="preserve">unnecessary </w:t>
            </w:r>
            <w:r w:rsidRPr="00113D17">
              <w:rPr>
                <w:sz w:val="20"/>
              </w:rPr>
              <w:t>medical attention.</w:t>
            </w:r>
          </w:p>
          <w:p w14:paraId="0A5BA7AD" w14:textId="474C3F0E"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Moreover, once information is made freely available, a variety of uses may be devised that were not envisioned when the system was created.</w:t>
            </w:r>
            <w:r w:rsidR="00375A5D">
              <w:rPr>
                <w:sz w:val="20"/>
              </w:rPr>
              <w:t xml:space="preserve"> </w:t>
            </w:r>
            <w:r w:rsidR="006777BA" w:rsidRPr="00113D17">
              <w:rPr>
                <w:sz w:val="20"/>
              </w:rPr>
              <w:t>Policies and attitudes about data transparency and openness can be important constraints.</w:t>
            </w:r>
          </w:p>
        </w:tc>
        <w:tc>
          <w:tcPr>
            <w:tcW w:w="2268" w:type="dxa"/>
            <w:vMerge/>
          </w:tcPr>
          <w:p w14:paraId="793C5C8E"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911D19" w:rsidRPr="00113D17" w14:paraId="32CE8111"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EF81AE4" w14:textId="77777777" w:rsidR="00911D19" w:rsidRPr="00113D17" w:rsidRDefault="00911D19" w:rsidP="00375A5D">
            <w:pPr>
              <w:pStyle w:val="TableText"/>
              <w:keepNext/>
              <w:keepLines/>
              <w:spacing w:before="0" w:after="0" w:line="240" w:lineRule="auto"/>
              <w:rPr>
                <w:sz w:val="20"/>
              </w:rPr>
            </w:pPr>
            <w:r w:rsidRPr="00113D17">
              <w:rPr>
                <w:sz w:val="20"/>
              </w:rPr>
              <w:t xml:space="preserve">Enabling factors </w:t>
            </w:r>
          </w:p>
        </w:tc>
        <w:tc>
          <w:tcPr>
            <w:tcW w:w="5103" w:type="dxa"/>
          </w:tcPr>
          <w:p w14:paraId="3F2C9ADC"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A prerequisite is an effective air quality monitoring infrastructure and </w:t>
            </w:r>
            <w:r w:rsidR="00F340B7" w:rsidRPr="00113D17">
              <w:rPr>
                <w:sz w:val="20"/>
              </w:rPr>
              <w:t>data collection</w:t>
            </w:r>
            <w:r w:rsidRPr="00113D17">
              <w:rPr>
                <w:sz w:val="20"/>
              </w:rPr>
              <w:t xml:space="preserve"> and dis</w:t>
            </w:r>
            <w:r w:rsidR="00F340B7" w:rsidRPr="00113D17">
              <w:rPr>
                <w:sz w:val="20"/>
              </w:rPr>
              <w:t>semi</w:t>
            </w:r>
            <w:r w:rsidRPr="00113D17">
              <w:rPr>
                <w:sz w:val="20"/>
              </w:rPr>
              <w:t>nation pr</w:t>
            </w:r>
            <w:r w:rsidR="00F340B7" w:rsidRPr="00113D17">
              <w:rPr>
                <w:sz w:val="20"/>
              </w:rPr>
              <w:t>ogra</w:t>
            </w:r>
            <w:r w:rsidRPr="00113D17">
              <w:rPr>
                <w:sz w:val="20"/>
              </w:rPr>
              <w:t xml:space="preserve">mme. </w:t>
            </w:r>
          </w:p>
        </w:tc>
        <w:tc>
          <w:tcPr>
            <w:tcW w:w="2268" w:type="dxa"/>
            <w:vMerge/>
          </w:tcPr>
          <w:p w14:paraId="2D3DB17B"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911D19" w:rsidRPr="00113D17" w14:paraId="2B5F9F5D"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373A4AA9" w14:textId="77777777" w:rsidR="00911D19" w:rsidRPr="00113D17" w:rsidRDefault="00911D19" w:rsidP="00375A5D">
            <w:pPr>
              <w:pStyle w:val="TableText"/>
              <w:keepNext/>
              <w:keepLines/>
              <w:spacing w:before="0" w:after="0" w:line="240" w:lineRule="auto"/>
              <w:rPr>
                <w:sz w:val="20"/>
              </w:rPr>
            </w:pPr>
            <w:r w:rsidRPr="00113D17">
              <w:rPr>
                <w:sz w:val="20"/>
              </w:rPr>
              <w:t>Cost-effectiveness</w:t>
            </w:r>
          </w:p>
        </w:tc>
        <w:tc>
          <w:tcPr>
            <w:tcW w:w="5103" w:type="dxa"/>
          </w:tcPr>
          <w:p w14:paraId="524EF4EF"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Additional costs of the data management and dis</w:t>
            </w:r>
            <w:r w:rsidR="00F340B7" w:rsidRPr="00113D17">
              <w:rPr>
                <w:sz w:val="20"/>
              </w:rPr>
              <w:t>semi</w:t>
            </w:r>
            <w:r w:rsidRPr="00113D17">
              <w:rPr>
                <w:sz w:val="20"/>
              </w:rPr>
              <w:t xml:space="preserve">nation are small compared to the costs of the monitoring activity and the value of the media coverage. </w:t>
            </w:r>
          </w:p>
        </w:tc>
        <w:tc>
          <w:tcPr>
            <w:tcW w:w="2268" w:type="dxa"/>
            <w:vMerge/>
          </w:tcPr>
          <w:p w14:paraId="3A174FDD"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911D19" w:rsidRPr="00113D17" w14:paraId="6AA4CEE3"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71709B" w14:textId="77777777" w:rsidR="00911D19" w:rsidRPr="00113D17" w:rsidRDefault="00911D19" w:rsidP="00375A5D">
            <w:pPr>
              <w:pStyle w:val="TableText"/>
              <w:keepNext/>
              <w:keepLines/>
              <w:spacing w:before="0" w:after="0" w:line="240" w:lineRule="auto"/>
              <w:rPr>
                <w:sz w:val="20"/>
              </w:rPr>
            </w:pPr>
            <w:r w:rsidRPr="00113D17">
              <w:rPr>
                <w:sz w:val="20"/>
              </w:rPr>
              <w:t>Equity</w:t>
            </w:r>
          </w:p>
        </w:tc>
        <w:tc>
          <w:tcPr>
            <w:tcW w:w="5103" w:type="dxa"/>
          </w:tcPr>
          <w:p w14:paraId="30F9982A"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 xml:space="preserve">Access to air quality information is not uniform. People who are poorly educated or without access to the </w:t>
            </w:r>
            <w:r w:rsidR="00F340B7" w:rsidRPr="00113D17">
              <w:rPr>
                <w:sz w:val="20"/>
              </w:rPr>
              <w:t>Internet</w:t>
            </w:r>
            <w:r w:rsidRPr="00113D17">
              <w:rPr>
                <w:sz w:val="20"/>
              </w:rPr>
              <w:t xml:space="preserve"> may be excluded.</w:t>
            </w:r>
          </w:p>
        </w:tc>
        <w:tc>
          <w:tcPr>
            <w:tcW w:w="2268" w:type="dxa"/>
            <w:vMerge/>
          </w:tcPr>
          <w:p w14:paraId="724F6363"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911D19" w:rsidRPr="00113D17" w14:paraId="615815B2"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4FA1D978" w14:textId="77777777" w:rsidR="00911D19" w:rsidRPr="00113D17" w:rsidRDefault="00911D19" w:rsidP="00375A5D">
            <w:pPr>
              <w:pStyle w:val="TableText"/>
              <w:keepNext/>
              <w:keepLines/>
              <w:spacing w:before="0" w:after="0" w:line="240" w:lineRule="auto"/>
              <w:rPr>
                <w:sz w:val="20"/>
              </w:rPr>
            </w:pPr>
            <w:r w:rsidRPr="00113D17">
              <w:rPr>
                <w:sz w:val="20"/>
              </w:rPr>
              <w:t>Co-benefits</w:t>
            </w:r>
          </w:p>
        </w:tc>
        <w:tc>
          <w:tcPr>
            <w:tcW w:w="5103" w:type="dxa"/>
          </w:tcPr>
          <w:p w14:paraId="0F20A5DE"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Creates a greater demand for air quality and improves acceptance of air quality management policies</w:t>
            </w:r>
          </w:p>
        </w:tc>
        <w:tc>
          <w:tcPr>
            <w:tcW w:w="2268" w:type="dxa"/>
            <w:vMerge/>
          </w:tcPr>
          <w:p w14:paraId="7287DDE2"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911D19" w:rsidRPr="00113D17" w14:paraId="5C3713BD" w14:textId="77777777" w:rsidTr="00AC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B452B67" w14:textId="77777777" w:rsidR="00911D19" w:rsidRPr="00113D17" w:rsidRDefault="00911D19" w:rsidP="00375A5D">
            <w:pPr>
              <w:pStyle w:val="TableText"/>
              <w:keepNext/>
              <w:keepLines/>
              <w:spacing w:before="0" w:after="0" w:line="240" w:lineRule="auto"/>
              <w:rPr>
                <w:sz w:val="20"/>
              </w:rPr>
            </w:pPr>
            <w:r w:rsidRPr="00113D17">
              <w:rPr>
                <w:sz w:val="20"/>
              </w:rPr>
              <w:t>Transboundary effects</w:t>
            </w:r>
          </w:p>
        </w:tc>
        <w:tc>
          <w:tcPr>
            <w:tcW w:w="5103" w:type="dxa"/>
          </w:tcPr>
          <w:p w14:paraId="779ECACF" w14:textId="77777777" w:rsidR="00911D19" w:rsidRPr="00113D17" w:rsidRDefault="005B1C94"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113D17">
              <w:rPr>
                <w:sz w:val="20"/>
              </w:rPr>
              <w:t>The p</w:t>
            </w:r>
            <w:r w:rsidR="00911D19" w:rsidRPr="00113D17">
              <w:rPr>
                <w:sz w:val="20"/>
              </w:rPr>
              <w:t>r</w:t>
            </w:r>
            <w:r w:rsidR="00F340B7" w:rsidRPr="00113D17">
              <w:rPr>
                <w:sz w:val="20"/>
              </w:rPr>
              <w:t>ogra</w:t>
            </w:r>
            <w:r w:rsidR="00911D19" w:rsidRPr="00113D17">
              <w:rPr>
                <w:sz w:val="20"/>
              </w:rPr>
              <w:t xml:space="preserve">mme is expanding </w:t>
            </w:r>
            <w:r w:rsidR="00D61152" w:rsidRPr="00113D17">
              <w:rPr>
                <w:sz w:val="20"/>
              </w:rPr>
              <w:t xml:space="preserve">internationally </w:t>
            </w:r>
            <w:r w:rsidR="00911D19" w:rsidRPr="00113D17">
              <w:rPr>
                <w:sz w:val="20"/>
              </w:rPr>
              <w:t xml:space="preserve">under </w:t>
            </w:r>
            <w:r w:rsidRPr="00113D17">
              <w:rPr>
                <w:sz w:val="20"/>
              </w:rPr>
              <w:t xml:space="preserve">the </w:t>
            </w:r>
            <w:r w:rsidR="00911D19" w:rsidRPr="00113D17">
              <w:rPr>
                <w:sz w:val="20"/>
              </w:rPr>
              <w:t>auspices of the Group on Earth Observations.</w:t>
            </w:r>
          </w:p>
        </w:tc>
        <w:tc>
          <w:tcPr>
            <w:tcW w:w="2268" w:type="dxa"/>
            <w:vMerge/>
          </w:tcPr>
          <w:p w14:paraId="21D7507A" w14:textId="77777777" w:rsidR="00911D19" w:rsidRPr="00113D17" w:rsidRDefault="00911D19" w:rsidP="00375A5D">
            <w:pPr>
              <w:pStyle w:val="Table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911D19" w:rsidRPr="00113D17" w14:paraId="4D1D315C" w14:textId="77777777" w:rsidTr="00AC1345">
        <w:tc>
          <w:tcPr>
            <w:cnfStyle w:val="001000000000" w:firstRow="0" w:lastRow="0" w:firstColumn="1" w:lastColumn="0" w:oddVBand="0" w:evenVBand="0" w:oddHBand="0" w:evenHBand="0" w:firstRowFirstColumn="0" w:firstRowLastColumn="0" w:lastRowFirstColumn="0" w:lastRowLastColumn="0"/>
            <w:tcW w:w="1809" w:type="dxa"/>
          </w:tcPr>
          <w:p w14:paraId="47FD1513" w14:textId="77777777" w:rsidR="00911D19" w:rsidRPr="00113D17" w:rsidRDefault="00911D19" w:rsidP="00375A5D">
            <w:pPr>
              <w:pStyle w:val="TableText"/>
              <w:keepNext/>
              <w:keepLines/>
              <w:spacing w:before="0" w:after="0" w:line="240" w:lineRule="auto"/>
              <w:rPr>
                <w:sz w:val="20"/>
              </w:rPr>
            </w:pPr>
            <w:r w:rsidRPr="00113D17">
              <w:rPr>
                <w:sz w:val="20"/>
              </w:rPr>
              <w:t>Possible improvements</w:t>
            </w:r>
          </w:p>
        </w:tc>
        <w:tc>
          <w:tcPr>
            <w:tcW w:w="5103" w:type="dxa"/>
          </w:tcPr>
          <w:p w14:paraId="531E4475"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113D17">
              <w:rPr>
                <w:sz w:val="20"/>
              </w:rPr>
              <w:t>As access to various types of information increase</w:t>
            </w:r>
            <w:r w:rsidR="005B1C94" w:rsidRPr="00113D17">
              <w:rPr>
                <w:sz w:val="20"/>
              </w:rPr>
              <w:t>s</w:t>
            </w:r>
            <w:r w:rsidRPr="00113D17">
              <w:rPr>
                <w:sz w:val="20"/>
              </w:rPr>
              <w:t>, expectations for access to air quality information also rise.</w:t>
            </w:r>
          </w:p>
        </w:tc>
        <w:tc>
          <w:tcPr>
            <w:tcW w:w="2268" w:type="dxa"/>
            <w:vMerge/>
          </w:tcPr>
          <w:p w14:paraId="4B350C14" w14:textId="77777777" w:rsidR="00911D19" w:rsidRPr="00113D17" w:rsidRDefault="00911D19" w:rsidP="00375A5D">
            <w:pPr>
              <w:pStyle w:val="TableText"/>
              <w:keepNext/>
              <w:keepLines/>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r>
      <w:bookmarkEnd w:id="41"/>
    </w:tbl>
    <w:p w14:paraId="73FB64F2" w14:textId="77777777" w:rsidR="00F340B7" w:rsidRPr="004A1A26" w:rsidRDefault="00F340B7" w:rsidP="00B477F5">
      <w:pPr>
        <w:rPr>
          <w:lang w:eastAsia="zh-CN"/>
        </w:rPr>
      </w:pPr>
    </w:p>
    <w:p w14:paraId="0E5C7F8B" w14:textId="00C9C6CD" w:rsidR="00F340B7" w:rsidRPr="004A1A26" w:rsidRDefault="00F32F98" w:rsidP="00B477F5">
      <w:bookmarkStart w:id="44" w:name="_2jxsxqh" w:colFirst="0" w:colLast="0"/>
      <w:bookmarkEnd w:id="44"/>
      <w:r w:rsidRPr="004A1A26">
        <w:t xml:space="preserve">As an information policy, the US EPA </w:t>
      </w:r>
      <w:proofErr w:type="spellStart"/>
      <w:r w:rsidRPr="004A1A26">
        <w:t>AirNow</w:t>
      </w:r>
      <w:proofErr w:type="spellEnd"/>
      <w:r w:rsidR="00D26870" w:rsidRPr="004A1A26">
        <w:t xml:space="preserve"> </w:t>
      </w:r>
      <w:r w:rsidR="00F340B7" w:rsidRPr="004A1A26">
        <w:t>programme</w:t>
      </w:r>
      <w:r w:rsidRPr="004A1A26">
        <w:t xml:space="preserve"> provides a low-cost but high-benefit example.</w:t>
      </w:r>
      <w:r w:rsidR="00375A5D">
        <w:t xml:space="preserve"> </w:t>
      </w:r>
      <w:r w:rsidRPr="004A1A26">
        <w:t xml:space="preserve">By building on existing structures, such as monitoring networks and state or local air quality agencies, the </w:t>
      </w:r>
      <w:r w:rsidR="00F340B7" w:rsidRPr="004A1A26">
        <w:t>programme</w:t>
      </w:r>
      <w:r w:rsidRPr="004A1A26">
        <w:t xml:space="preserve"> leverages infrastructure in a new way.</w:t>
      </w:r>
      <w:r w:rsidR="00375A5D">
        <w:t xml:space="preserve"> </w:t>
      </w:r>
      <w:r w:rsidRPr="004A1A26">
        <w:t>The primary benefit of this information policy comes by helping individuals reduce or avoid exposure to high levels of pollution.</w:t>
      </w:r>
      <w:r w:rsidR="00375A5D">
        <w:t xml:space="preserve"> </w:t>
      </w:r>
      <w:r w:rsidRPr="004A1A26">
        <w:t>Timely information encourages citizens to take mitigative actions to reduce their contributions to pollution</w:t>
      </w:r>
      <w:r w:rsidR="00555ADA" w:rsidRPr="004A1A26">
        <w:t>.</w:t>
      </w:r>
      <w:r w:rsidR="00375A5D">
        <w:t xml:space="preserve"> </w:t>
      </w:r>
      <w:r w:rsidRPr="004A1A26">
        <w:t>In addition, the provision of information creates an awareness of air pollution, a demand for cleaner air and greater acceptance of other regulatory and market policies to decrease pollution. While no formal evaluation of the pr</w:t>
      </w:r>
      <w:r w:rsidR="00F340B7" w:rsidRPr="004A1A26">
        <w:t>ogra</w:t>
      </w:r>
      <w:r w:rsidRPr="004A1A26">
        <w:t xml:space="preserve">mme exists, various studies show that air quality information has an impact on awareness and </w:t>
      </w:r>
      <w:r w:rsidR="0036672D" w:rsidRPr="004A1A26">
        <w:t>lifestyle</w:t>
      </w:r>
      <w:r w:rsidRPr="004A1A26">
        <w:t>.</w:t>
      </w:r>
    </w:p>
    <w:p w14:paraId="0D95B311" w14:textId="77777777" w:rsidR="00F340B7" w:rsidRPr="004A1A26" w:rsidRDefault="00F32F98" w:rsidP="003B7FFC">
      <w:pPr>
        <w:pStyle w:val="Heading3"/>
      </w:pPr>
      <w:bookmarkStart w:id="45" w:name="_Toc500317246"/>
      <w:bookmarkStart w:id="46" w:name="_Toc500317439"/>
      <w:bookmarkStart w:id="47" w:name="_Toc500334337"/>
      <w:bookmarkStart w:id="48" w:name="_Toc500347365"/>
      <w:bookmarkStart w:id="49" w:name="_Toc516842471"/>
      <w:r w:rsidRPr="004A1A26">
        <w:lastRenderedPageBreak/>
        <w:t xml:space="preserve">International </w:t>
      </w:r>
      <w:r w:rsidR="00351C6A" w:rsidRPr="004A1A26">
        <w:t>c</w:t>
      </w:r>
      <w:r w:rsidRPr="004A1A26">
        <w:t>ooperation</w:t>
      </w:r>
      <w:bookmarkEnd w:id="45"/>
      <w:bookmarkEnd w:id="46"/>
      <w:bookmarkEnd w:id="47"/>
      <w:bookmarkEnd w:id="48"/>
      <w:bookmarkEnd w:id="49"/>
    </w:p>
    <w:p w14:paraId="43035629" w14:textId="05650878" w:rsidR="00F340B7" w:rsidRPr="004A1A26" w:rsidRDefault="00592FC6" w:rsidP="00B477F5">
      <w:pPr>
        <w:pStyle w:val="NormalWeb"/>
        <w:rPr>
          <w:lang w:val="en-GB"/>
        </w:rPr>
      </w:pPr>
      <w:r w:rsidRPr="004A1A26">
        <w:rPr>
          <w:lang w:val="en-GB"/>
        </w:rPr>
        <w:t xml:space="preserve">No one can live without </w:t>
      </w:r>
      <w:r w:rsidR="00F32F98" w:rsidRPr="004A1A26">
        <w:rPr>
          <w:lang w:val="en-GB"/>
        </w:rPr>
        <w:t>air</w:t>
      </w:r>
      <w:r w:rsidR="00351C6A" w:rsidRPr="004A1A26">
        <w:rPr>
          <w:lang w:val="en-GB"/>
        </w:rPr>
        <w:t>,</w:t>
      </w:r>
      <w:r w:rsidR="00EA516F">
        <w:rPr>
          <w:lang w:val="en-GB"/>
        </w:rPr>
        <w:t xml:space="preserve"> </w:t>
      </w:r>
      <w:r w:rsidRPr="004A1A26">
        <w:rPr>
          <w:lang w:val="en-GB"/>
        </w:rPr>
        <w:t>and its quality is indispensable. However, 90</w:t>
      </w:r>
      <w:r w:rsidR="00F340B7" w:rsidRPr="004A1A26">
        <w:rPr>
          <w:lang w:val="en-GB"/>
        </w:rPr>
        <w:t> per cent</w:t>
      </w:r>
      <w:r w:rsidRPr="004A1A26">
        <w:rPr>
          <w:lang w:val="en-GB"/>
        </w:rPr>
        <w:t xml:space="preserve"> of the </w:t>
      </w:r>
      <w:r w:rsidR="00D61152" w:rsidRPr="004A1A26">
        <w:rPr>
          <w:lang w:val="en-GB"/>
        </w:rPr>
        <w:t xml:space="preserve">global </w:t>
      </w:r>
      <w:r w:rsidRPr="004A1A26">
        <w:rPr>
          <w:lang w:val="en-GB"/>
        </w:rPr>
        <w:t xml:space="preserve">population </w:t>
      </w:r>
      <w:r w:rsidR="00D61152" w:rsidRPr="004A1A26">
        <w:rPr>
          <w:lang w:val="en-GB"/>
        </w:rPr>
        <w:t xml:space="preserve">is </w:t>
      </w:r>
      <w:r w:rsidRPr="004A1A26">
        <w:rPr>
          <w:lang w:val="en-GB"/>
        </w:rPr>
        <w:t>now force</w:t>
      </w:r>
      <w:r w:rsidR="00D61152" w:rsidRPr="004A1A26">
        <w:rPr>
          <w:lang w:val="en-GB"/>
        </w:rPr>
        <w:t>d</w:t>
      </w:r>
      <w:r w:rsidRPr="004A1A26">
        <w:rPr>
          <w:lang w:val="en-GB"/>
        </w:rPr>
        <w:t xml:space="preserve"> to live with unhealthy </w:t>
      </w:r>
      <w:r w:rsidR="00D61152" w:rsidRPr="004A1A26">
        <w:rPr>
          <w:lang w:val="en-GB"/>
        </w:rPr>
        <w:t xml:space="preserve">air, </w:t>
      </w:r>
      <w:r w:rsidRPr="004A1A26">
        <w:rPr>
          <w:lang w:val="en-GB"/>
        </w:rPr>
        <w:t xml:space="preserve">particularly in Asia and Africa (WHO 2018). Air </w:t>
      </w:r>
      <w:r w:rsidR="00F32F98" w:rsidRPr="004A1A26">
        <w:rPr>
          <w:lang w:val="en-GB"/>
        </w:rPr>
        <w:t xml:space="preserve">pollution and </w:t>
      </w:r>
      <w:r w:rsidRPr="004A1A26">
        <w:rPr>
          <w:lang w:val="en-GB"/>
        </w:rPr>
        <w:t>PBT</w:t>
      </w:r>
      <w:r w:rsidR="00351C6A" w:rsidRPr="004A1A26">
        <w:rPr>
          <w:lang w:val="en-GB"/>
        </w:rPr>
        <w:t>s</w:t>
      </w:r>
      <w:r w:rsidRPr="004A1A26">
        <w:rPr>
          <w:lang w:val="en-GB"/>
        </w:rPr>
        <w:t xml:space="preserve"> are </w:t>
      </w:r>
      <w:r w:rsidR="003B7FFC" w:rsidRPr="004A1A26">
        <w:rPr>
          <w:lang w:val="en-GB"/>
        </w:rPr>
        <w:t xml:space="preserve">of </w:t>
      </w:r>
      <w:proofErr w:type="gramStart"/>
      <w:r w:rsidR="003B7FFC" w:rsidRPr="004A1A26">
        <w:rPr>
          <w:lang w:val="en-GB"/>
        </w:rPr>
        <w:t>particular concern</w:t>
      </w:r>
      <w:proofErr w:type="gramEnd"/>
      <w:r w:rsidRPr="004A1A26">
        <w:rPr>
          <w:lang w:val="en-GB"/>
        </w:rPr>
        <w:t>, as they travel locally, internationally, regionally and globally.</w:t>
      </w:r>
      <w:r w:rsidR="00F32F98" w:rsidRPr="004A1A26">
        <w:rPr>
          <w:lang w:val="en-GB"/>
        </w:rPr>
        <w:t xml:space="preserve"> International cooperation </w:t>
      </w:r>
      <w:r w:rsidRPr="004A1A26">
        <w:rPr>
          <w:lang w:val="en-GB"/>
        </w:rPr>
        <w:t xml:space="preserve">plays an important role when air pollution crosses </w:t>
      </w:r>
      <w:r w:rsidR="00F340B7" w:rsidRPr="004A1A26">
        <w:rPr>
          <w:lang w:val="en-GB"/>
        </w:rPr>
        <w:t>border</w:t>
      </w:r>
      <w:r w:rsidR="00351C6A" w:rsidRPr="004A1A26">
        <w:rPr>
          <w:lang w:val="en-GB"/>
        </w:rPr>
        <w:t>s</w:t>
      </w:r>
      <w:r w:rsidRPr="004A1A26">
        <w:rPr>
          <w:lang w:val="en-GB"/>
        </w:rPr>
        <w:t xml:space="preserve"> or need</w:t>
      </w:r>
      <w:r w:rsidR="00351C6A" w:rsidRPr="004A1A26">
        <w:rPr>
          <w:lang w:val="en-GB"/>
        </w:rPr>
        <w:t>s</w:t>
      </w:r>
      <w:r w:rsidRPr="004A1A26">
        <w:rPr>
          <w:lang w:val="en-GB"/>
        </w:rPr>
        <w:t xml:space="preserve"> to be addressed across </w:t>
      </w:r>
      <w:r w:rsidR="00F340B7" w:rsidRPr="004A1A26">
        <w:rPr>
          <w:lang w:val="en-GB"/>
        </w:rPr>
        <w:t>border</w:t>
      </w:r>
      <w:r w:rsidRPr="004A1A26">
        <w:rPr>
          <w:lang w:val="en-GB"/>
        </w:rPr>
        <w:t>s.</w:t>
      </w:r>
    </w:p>
    <w:p w14:paraId="720D4B91" w14:textId="6975BC00" w:rsidR="00F340B7" w:rsidRPr="004A1A26" w:rsidRDefault="00592FC6" w:rsidP="00B477F5">
      <w:r w:rsidRPr="004A1A26">
        <w:t xml:space="preserve">International cooperation </w:t>
      </w:r>
      <w:r w:rsidR="00F32F98" w:rsidRPr="004A1A26">
        <w:t>can take many forms, ranging from formal</w:t>
      </w:r>
      <w:r w:rsidRPr="004A1A26">
        <w:t xml:space="preserve"> to informal</w:t>
      </w:r>
      <w:r w:rsidR="00A94D8C" w:rsidRPr="004A1A26">
        <w:t xml:space="preserve">, </w:t>
      </w:r>
      <w:r w:rsidRPr="004A1A26">
        <w:t xml:space="preserve">bilateral </w:t>
      </w:r>
      <w:r w:rsidR="00A94D8C" w:rsidRPr="004A1A26">
        <w:t xml:space="preserve">to </w:t>
      </w:r>
      <w:r w:rsidR="00F32F98" w:rsidRPr="004A1A26">
        <w:t xml:space="preserve">multilateral </w:t>
      </w:r>
      <w:r w:rsidRPr="004A1A26">
        <w:t xml:space="preserve">diplomacy. </w:t>
      </w:r>
      <w:r w:rsidR="00A94D8C" w:rsidRPr="004A1A26">
        <w:t>G</w:t>
      </w:r>
      <w:r w:rsidRPr="004A1A26">
        <w:t xml:space="preserve">overnments are one of the key actors to </w:t>
      </w:r>
      <w:r w:rsidR="00EA516F">
        <w:t xml:space="preserve">align </w:t>
      </w:r>
      <w:r w:rsidRPr="004A1A26">
        <w:t>their actions―negotiating and conclud</w:t>
      </w:r>
      <w:r w:rsidR="00A94D8C" w:rsidRPr="004A1A26">
        <w:t>ing</w:t>
      </w:r>
      <w:r w:rsidR="00EA516F">
        <w:t xml:space="preserve"> </w:t>
      </w:r>
      <w:r w:rsidR="00351C6A" w:rsidRPr="004A1A26">
        <w:t>multilateral environmental agreements (</w:t>
      </w:r>
      <w:r w:rsidR="00F32F98" w:rsidRPr="004A1A26">
        <w:t>MEAs</w:t>
      </w:r>
      <w:r w:rsidR="00351C6A" w:rsidRPr="004A1A26">
        <w:t>)</w:t>
      </w:r>
      <w:r w:rsidRPr="004A1A26">
        <w:t xml:space="preserve"> in </w:t>
      </w:r>
      <w:r w:rsidR="00A94D8C" w:rsidRPr="004A1A26">
        <w:t xml:space="preserve">a </w:t>
      </w:r>
      <w:r w:rsidRPr="004A1A26">
        <w:t xml:space="preserve">tangled web of national interests, providing international aid, conducting capacity-building/technical assistance under or beyond the agreement, monitoring and modelling air pollution </w:t>
      </w:r>
      <w:r w:rsidR="00351C6A" w:rsidRPr="004A1A26">
        <w:t xml:space="preserve">to improve </w:t>
      </w:r>
      <w:r w:rsidRPr="004A1A26">
        <w:t xml:space="preserve">scientific knowledge with help from </w:t>
      </w:r>
      <w:r w:rsidR="00351C6A" w:rsidRPr="004A1A26">
        <w:t>a community</w:t>
      </w:r>
      <w:r w:rsidR="00351C6A" w:rsidRPr="004A1A26">
        <w:rPr>
          <w:lang w:eastAsia="ja-JP"/>
        </w:rPr>
        <w:t xml:space="preserve"> of </w:t>
      </w:r>
      <w:r w:rsidRPr="004A1A26">
        <w:rPr>
          <w:lang w:eastAsia="ja-JP"/>
        </w:rPr>
        <w:t>experts</w:t>
      </w:r>
      <w:r w:rsidRPr="004A1A26">
        <w:t xml:space="preserve">, sharing information </w:t>
      </w:r>
      <w:r w:rsidR="00351C6A" w:rsidRPr="004A1A26">
        <w:t xml:space="preserve">with </w:t>
      </w:r>
      <w:r w:rsidRPr="004A1A26">
        <w:t>the public, raising awareness, and engaging in</w:t>
      </w:r>
      <w:r w:rsidR="00F32F98" w:rsidRPr="004A1A26">
        <w:t xml:space="preserve"> voluntary efforts </w:t>
      </w:r>
      <w:r w:rsidRPr="004A1A26">
        <w:t>for further cooperation to reduce air pollut</w:t>
      </w:r>
      <w:r w:rsidR="00351C6A" w:rsidRPr="004A1A26">
        <w:t>ion</w:t>
      </w:r>
      <w:r w:rsidRPr="004A1A26">
        <w:t>.</w:t>
      </w:r>
      <w:r w:rsidR="00F32F98" w:rsidRPr="004A1A26">
        <w:t xml:space="preserve"> Formal training, technol</w:t>
      </w:r>
      <w:r w:rsidR="00F340B7" w:rsidRPr="004A1A26">
        <w:t>ogy</w:t>
      </w:r>
      <w:r w:rsidR="00F32F98" w:rsidRPr="004A1A26">
        <w:t xml:space="preserve"> demonstration, and cooperative research and assessment activities provide more effective </w:t>
      </w:r>
      <w:r w:rsidR="00F340B7" w:rsidRPr="004A1A26">
        <w:t>knowledge-sharing</w:t>
      </w:r>
      <w:r w:rsidR="00F32F98" w:rsidRPr="004A1A26">
        <w:t xml:space="preserve"> and </w:t>
      </w:r>
      <w:r w:rsidR="00F340B7" w:rsidRPr="004A1A26">
        <w:t>capacity-building</w:t>
      </w:r>
      <w:r w:rsidR="00F32F98" w:rsidRPr="004A1A26">
        <w:t xml:space="preserve"> opportunities. These activities may have the most significant long-term influence on environmental outcomes, but their immediate impact is difficult to quantify. </w:t>
      </w:r>
      <w:r w:rsidRPr="004A1A26">
        <w:t>Local governments are important actors to implement national environmental policies. Cooperation from business</w:t>
      </w:r>
      <w:r w:rsidRPr="004A1A26">
        <w:rPr>
          <w:lang w:eastAsia="ja-JP"/>
        </w:rPr>
        <w:t xml:space="preserve"> and industry</w:t>
      </w:r>
      <w:r w:rsidRPr="004A1A26">
        <w:t xml:space="preserve"> is crucial to increase </w:t>
      </w:r>
      <w:r w:rsidR="00351C6A" w:rsidRPr="004A1A26">
        <w:t xml:space="preserve">the </w:t>
      </w:r>
      <w:r w:rsidRPr="004A1A26">
        <w:t xml:space="preserve">effectiveness of the policies. </w:t>
      </w:r>
      <w:r w:rsidR="00F32F98" w:rsidRPr="004A1A26">
        <w:t xml:space="preserve">Considerable </w:t>
      </w:r>
      <w:r w:rsidR="00F340B7" w:rsidRPr="004A1A26">
        <w:t>progress</w:t>
      </w:r>
      <w:r w:rsidR="00F32F98" w:rsidRPr="004A1A26">
        <w:t xml:space="preserve"> on policy cooperation, </w:t>
      </w:r>
      <w:r w:rsidR="00F340B7" w:rsidRPr="004A1A26">
        <w:t>emission</w:t>
      </w:r>
      <w:r w:rsidR="00351C6A" w:rsidRPr="004A1A26">
        <w:t>s</w:t>
      </w:r>
      <w:r w:rsidR="00F32F98" w:rsidRPr="004A1A26">
        <w:t xml:space="preserve"> control and reporting</w:t>
      </w:r>
      <w:r w:rsidR="00351C6A" w:rsidRPr="004A1A26">
        <w:t>,</w:t>
      </w:r>
      <w:r w:rsidR="00F32F98" w:rsidRPr="004A1A26">
        <w:t xml:space="preserve"> and ecosystem recovery has been achieved under the eight legally binding CLRTAP Protocols. The application of the effects-oriented critical load concept with regional cost </w:t>
      </w:r>
      <w:r w:rsidR="00F32F98" w:rsidRPr="004A1A26">
        <w:rPr>
          <w:color w:val="010000"/>
        </w:rPr>
        <w:t>minim</w:t>
      </w:r>
      <w:r w:rsidR="00F340B7" w:rsidRPr="004A1A26">
        <w:rPr>
          <w:color w:val="010000"/>
        </w:rPr>
        <w:t>iza</w:t>
      </w:r>
      <w:r w:rsidR="00F32F98" w:rsidRPr="004A1A26">
        <w:rPr>
          <w:color w:val="010000"/>
        </w:rPr>
        <w:t>tion</w:t>
      </w:r>
      <w:r w:rsidR="00F32F98" w:rsidRPr="004A1A26">
        <w:t xml:space="preserve"> of science-based mitigation measures, technical as </w:t>
      </w:r>
      <w:r w:rsidR="00F340B7" w:rsidRPr="004A1A26">
        <w:t>well</w:t>
      </w:r>
      <w:r w:rsidR="00F32F98" w:rsidRPr="004A1A26">
        <w:t xml:space="preserve"> as structural, has offered a sophisticated but successful way forward for participating countries.</w:t>
      </w:r>
    </w:p>
    <w:p w14:paraId="0318F05E" w14:textId="100285D7" w:rsidR="00F340B7" w:rsidRPr="004A1A26" w:rsidRDefault="00F32F98" w:rsidP="00256D15">
      <w:pPr>
        <w:pStyle w:val="NormalWeb"/>
        <w:rPr>
          <w:lang w:val="en-GB"/>
        </w:rPr>
      </w:pPr>
      <w:r w:rsidRPr="004A1A26">
        <w:rPr>
          <w:lang w:val="en-GB"/>
        </w:rPr>
        <w:t>A relatively recent approach to international cooperation on air-related issues has been the development of public</w:t>
      </w:r>
      <w:r w:rsidR="00351C6A" w:rsidRPr="004A1A26">
        <w:rPr>
          <w:lang w:val="en-GB"/>
        </w:rPr>
        <w:t>–</w:t>
      </w:r>
      <w:r w:rsidRPr="004A1A26">
        <w:rPr>
          <w:lang w:val="en-GB"/>
        </w:rPr>
        <w:t>private initiatives, such as the Partnership for Clean Fuels and Vehicles, the Global Alliance for Clean Cookstoves</w:t>
      </w:r>
      <w:r w:rsidR="00467DD8">
        <w:rPr>
          <w:lang w:val="en-GB"/>
        </w:rPr>
        <w:t xml:space="preserve"> (see Section 12.2.3)</w:t>
      </w:r>
      <w:r w:rsidRPr="004A1A26">
        <w:rPr>
          <w:lang w:val="en-GB"/>
        </w:rPr>
        <w:t xml:space="preserve">, </w:t>
      </w:r>
      <w:r w:rsidR="00DF3495" w:rsidRPr="004A1A26">
        <w:rPr>
          <w:lang w:val="en-GB"/>
        </w:rPr>
        <w:t xml:space="preserve">the Global Research Alliance on Agricultural Greenhouse Gases, </w:t>
      </w:r>
      <w:r w:rsidRPr="004A1A26">
        <w:rPr>
          <w:lang w:val="en-GB"/>
        </w:rPr>
        <w:t xml:space="preserve">and the Climate and Clean Air Coalition for the Reduction of Short-Lived Climate Pollutants (CCAC). These initiatives bring </w:t>
      </w:r>
      <w:r w:rsidR="00F340B7" w:rsidRPr="004A1A26">
        <w:rPr>
          <w:lang w:val="en-GB"/>
        </w:rPr>
        <w:t>together</w:t>
      </w:r>
      <w:r w:rsidRPr="004A1A26">
        <w:rPr>
          <w:lang w:val="en-GB"/>
        </w:rPr>
        <w:t xml:space="preserve"> interested national governments, intergovernmental organizations, private</w:t>
      </w:r>
      <w:r w:rsidR="00351C6A" w:rsidRPr="004A1A26">
        <w:rPr>
          <w:lang w:val="en-GB"/>
        </w:rPr>
        <w:t>-</w:t>
      </w:r>
      <w:r w:rsidRPr="004A1A26">
        <w:rPr>
          <w:lang w:val="en-GB"/>
        </w:rPr>
        <w:t xml:space="preserve">sector companies, civil society organizations and philanthropic foundations to advance specific pollution mitigation efforts. For example, CCAC was founded in </w:t>
      </w:r>
      <w:r w:rsidR="00F340B7" w:rsidRPr="004A1A26">
        <w:rPr>
          <w:lang w:val="en-GB"/>
        </w:rPr>
        <w:t>2012</w:t>
      </w:r>
      <w:r w:rsidRPr="004A1A26">
        <w:rPr>
          <w:lang w:val="en-GB"/>
        </w:rPr>
        <w:t xml:space="preserve"> by </w:t>
      </w:r>
      <w:r w:rsidR="00107AC2" w:rsidRPr="004A1A26">
        <w:rPr>
          <w:lang w:val="en-GB"/>
        </w:rPr>
        <w:t>the United Nations Environment Programme (</w:t>
      </w:r>
      <w:r w:rsidRPr="004A1A26">
        <w:rPr>
          <w:lang w:val="en-GB"/>
        </w:rPr>
        <w:t>UNEP</w:t>
      </w:r>
      <w:r w:rsidR="00107AC2" w:rsidRPr="004A1A26">
        <w:rPr>
          <w:lang w:val="en-GB"/>
        </w:rPr>
        <w:t>)</w:t>
      </w:r>
      <w:r w:rsidRPr="004A1A26">
        <w:rPr>
          <w:lang w:val="en-GB"/>
        </w:rPr>
        <w:t xml:space="preserve"> and the governments of Bangladesh, Canada, Ghana, Mexico, Sweden and the United States, to catalyse action to decrease </w:t>
      </w:r>
      <w:r w:rsidR="00F340B7" w:rsidRPr="004A1A26">
        <w:rPr>
          <w:lang w:val="en-GB"/>
        </w:rPr>
        <w:t>emission</w:t>
      </w:r>
      <w:r w:rsidRPr="004A1A26">
        <w:rPr>
          <w:lang w:val="en-GB"/>
        </w:rPr>
        <w:t xml:space="preserve">s of black carbon, methane and hydrofluorocarbons. CCAC now has more than 100 state and </w:t>
      </w:r>
      <w:r w:rsidR="00F340B7" w:rsidRPr="004A1A26">
        <w:rPr>
          <w:lang w:val="en-GB"/>
        </w:rPr>
        <w:t>non-</w:t>
      </w:r>
      <w:r w:rsidRPr="004A1A26">
        <w:rPr>
          <w:lang w:val="en-GB"/>
        </w:rPr>
        <w:t xml:space="preserve">state partner organizations participating in 11 different initiatives. </w:t>
      </w:r>
      <w:r w:rsidR="00592FC6" w:rsidRPr="004A1A26">
        <w:rPr>
          <w:lang w:val="en-GB"/>
        </w:rPr>
        <w:t>This could contribute to cleaner fuels and technol</w:t>
      </w:r>
      <w:r w:rsidR="00F340B7" w:rsidRPr="004A1A26">
        <w:rPr>
          <w:lang w:val="en-GB"/>
        </w:rPr>
        <w:t>ogies</w:t>
      </w:r>
      <w:r w:rsidR="00592FC6" w:rsidRPr="004A1A26">
        <w:rPr>
          <w:lang w:val="en-GB"/>
        </w:rPr>
        <w:t xml:space="preserve"> in </w:t>
      </w:r>
      <w:r w:rsidR="00982AE9" w:rsidRPr="004A1A26">
        <w:rPr>
          <w:lang w:val="en-GB"/>
        </w:rPr>
        <w:t xml:space="preserve">the </w:t>
      </w:r>
      <w:r w:rsidR="00592FC6" w:rsidRPr="004A1A26">
        <w:rPr>
          <w:lang w:val="en-GB"/>
        </w:rPr>
        <w:t xml:space="preserve">homes of 3 </w:t>
      </w:r>
      <w:r w:rsidR="00F340B7" w:rsidRPr="004A1A26">
        <w:rPr>
          <w:lang w:val="en-GB"/>
        </w:rPr>
        <w:t>billion</w:t>
      </w:r>
      <w:r w:rsidR="00592FC6" w:rsidRPr="004A1A26">
        <w:rPr>
          <w:lang w:val="en-GB"/>
        </w:rPr>
        <w:t xml:space="preserve"> vulnerable </w:t>
      </w:r>
      <w:r w:rsidR="003B4E0B" w:rsidRPr="004A1A26">
        <w:rPr>
          <w:lang w:val="en-GB"/>
        </w:rPr>
        <w:t xml:space="preserve">people </w:t>
      </w:r>
      <w:r w:rsidR="00592FC6" w:rsidRPr="004A1A26">
        <w:rPr>
          <w:lang w:val="en-GB"/>
        </w:rPr>
        <w:t>suffering from household air pollution (</w:t>
      </w:r>
      <w:proofErr w:type="spellStart"/>
      <w:r w:rsidR="002E444C" w:rsidRPr="004A1A26">
        <w:rPr>
          <w:lang w:val="en-GB"/>
        </w:rPr>
        <w:t>Apte</w:t>
      </w:r>
      <w:proofErr w:type="spellEnd"/>
      <w:r w:rsidR="002E444C" w:rsidRPr="004A1A26">
        <w:rPr>
          <w:lang w:val="en-GB"/>
        </w:rPr>
        <w:t xml:space="preserve"> &amp; Salvi </w:t>
      </w:r>
      <w:r w:rsidR="002E444C" w:rsidRPr="0042270D">
        <w:rPr>
          <w:i/>
          <w:lang w:val="en-GB"/>
        </w:rPr>
        <w:t>et al.</w:t>
      </w:r>
      <w:r w:rsidR="002E444C" w:rsidRPr="004A1A26">
        <w:rPr>
          <w:lang w:val="en-GB"/>
        </w:rPr>
        <w:t xml:space="preserve"> 2016</w:t>
      </w:r>
      <w:r w:rsidR="00592FC6" w:rsidRPr="004A1A26">
        <w:rPr>
          <w:lang w:val="en-GB"/>
        </w:rPr>
        <w:t>).</w:t>
      </w:r>
    </w:p>
    <w:p w14:paraId="6EC9EED5" w14:textId="7663CC52" w:rsidR="00F340B7" w:rsidRPr="004A1A26" w:rsidRDefault="00592FC6" w:rsidP="00B477F5">
      <w:r w:rsidRPr="004A1A26">
        <w:lastRenderedPageBreak/>
        <w:t>International</w:t>
      </w:r>
      <w:r w:rsidRPr="004A1A26">
        <w:rPr>
          <w:lang w:eastAsia="ja-JP"/>
        </w:rPr>
        <w:t xml:space="preserve"> financial institutions</w:t>
      </w:r>
      <w:r w:rsidRPr="004A1A26">
        <w:t xml:space="preserve"> such as </w:t>
      </w:r>
      <w:r w:rsidR="003B4E0B" w:rsidRPr="004A1A26">
        <w:t xml:space="preserve">the </w:t>
      </w:r>
      <w:r w:rsidRPr="004A1A26">
        <w:t xml:space="preserve">World Bank, </w:t>
      </w:r>
      <w:r w:rsidR="00982AE9" w:rsidRPr="004A1A26">
        <w:t xml:space="preserve">the </w:t>
      </w:r>
      <w:r w:rsidRPr="004A1A26">
        <w:t>Asian</w:t>
      </w:r>
      <w:r w:rsidR="003B4E0B" w:rsidRPr="004A1A26">
        <w:t xml:space="preserve"> Development Bank, </w:t>
      </w:r>
      <w:r w:rsidR="00982AE9" w:rsidRPr="004A1A26">
        <w:t xml:space="preserve">the </w:t>
      </w:r>
      <w:r w:rsidRPr="004A1A26">
        <w:t xml:space="preserve">African Development Bank, </w:t>
      </w:r>
      <w:r w:rsidR="00982AE9" w:rsidRPr="004A1A26">
        <w:t xml:space="preserve">the </w:t>
      </w:r>
      <w:r w:rsidRPr="004A1A26">
        <w:t>Global Environmental Facility</w:t>
      </w:r>
      <w:r w:rsidR="003B4E0B" w:rsidRPr="004A1A26">
        <w:t xml:space="preserve"> and </w:t>
      </w:r>
      <w:r w:rsidR="00982AE9" w:rsidRPr="004A1A26">
        <w:t xml:space="preserve">the </w:t>
      </w:r>
      <w:r w:rsidR="003B4E0B" w:rsidRPr="004A1A26">
        <w:t>Green Climate Fund</w:t>
      </w:r>
      <w:r w:rsidR="00EA516F">
        <w:t xml:space="preserve"> </w:t>
      </w:r>
      <w:r w:rsidR="00982AE9" w:rsidRPr="004A1A26">
        <w:t xml:space="preserve">play </w:t>
      </w:r>
      <w:r w:rsidRPr="004A1A26">
        <w:t>major role</w:t>
      </w:r>
      <w:r w:rsidR="003B4E0B" w:rsidRPr="004A1A26">
        <w:t>s</w:t>
      </w:r>
      <w:r w:rsidRPr="004A1A26">
        <w:t xml:space="preserve"> in project funding. Financial assistance</w:t>
      </w:r>
      <w:r w:rsidR="00F32F98" w:rsidRPr="004A1A26">
        <w:t xml:space="preserve"> and cooperative implementation of control measures can have a clear and demonstrable effect on decreasing </w:t>
      </w:r>
      <w:r w:rsidR="00F340B7" w:rsidRPr="004A1A26">
        <w:t>emission</w:t>
      </w:r>
      <w:r w:rsidR="00F32F98" w:rsidRPr="004A1A26">
        <w:t>s in the short term, but the long-term impacts may be much larger if the control measures are replicated.</w:t>
      </w:r>
    </w:p>
    <w:p w14:paraId="53DC536C" w14:textId="584F8C7A" w:rsidR="00F340B7" w:rsidRPr="004A1A26" w:rsidRDefault="00592FC6" w:rsidP="00B477F5">
      <w:pPr>
        <w:pStyle w:val="NormalWeb"/>
        <w:rPr>
          <w:lang w:val="en-GB"/>
        </w:rPr>
      </w:pPr>
      <w:r w:rsidRPr="004A1A26">
        <w:rPr>
          <w:lang w:val="en-GB"/>
        </w:rPr>
        <w:t>Re</w:t>
      </w:r>
      <w:r w:rsidRPr="004A1A26">
        <w:rPr>
          <w:lang w:val="en-GB" w:eastAsia="ja-JP"/>
        </w:rPr>
        <w:t>gional</w:t>
      </w:r>
      <w:r w:rsidRPr="004A1A26">
        <w:rPr>
          <w:lang w:val="en-GB"/>
        </w:rPr>
        <w:t xml:space="preserve"> organizations </w:t>
      </w:r>
      <w:r w:rsidR="00982AE9" w:rsidRPr="004A1A26">
        <w:rPr>
          <w:lang w:val="en-GB"/>
        </w:rPr>
        <w:t xml:space="preserve">can </w:t>
      </w:r>
      <w:r w:rsidRPr="004A1A26">
        <w:rPr>
          <w:lang w:val="en-GB"/>
        </w:rPr>
        <w:t>function</w:t>
      </w:r>
      <w:r w:rsidR="00982AE9" w:rsidRPr="004A1A26">
        <w:rPr>
          <w:lang w:val="en-GB"/>
        </w:rPr>
        <w:t xml:space="preserve"> in two ways</w:t>
      </w:r>
      <w:r w:rsidRPr="004A1A26">
        <w:rPr>
          <w:lang w:val="en-GB"/>
        </w:rPr>
        <w:t>. One</w:t>
      </w:r>
      <w:r w:rsidR="003B4E0B" w:rsidRPr="004A1A26">
        <w:rPr>
          <w:lang w:val="en-GB"/>
        </w:rPr>
        <w:t>,</w:t>
      </w:r>
      <w:r w:rsidRPr="004A1A26">
        <w:rPr>
          <w:lang w:val="en-GB"/>
        </w:rPr>
        <w:t xml:space="preserve"> like </w:t>
      </w:r>
      <w:r w:rsidR="003B4E0B" w:rsidRPr="004A1A26">
        <w:rPr>
          <w:lang w:val="en-GB"/>
        </w:rPr>
        <w:t xml:space="preserve">the </w:t>
      </w:r>
      <w:r w:rsidRPr="004A1A26">
        <w:rPr>
          <w:lang w:val="en-GB"/>
        </w:rPr>
        <w:t>EU</w:t>
      </w:r>
      <w:r w:rsidR="003B4E0B" w:rsidRPr="004A1A26">
        <w:rPr>
          <w:lang w:val="en-GB"/>
        </w:rPr>
        <w:t>,</w:t>
      </w:r>
      <w:r w:rsidR="00EA516F">
        <w:rPr>
          <w:lang w:val="en-GB"/>
        </w:rPr>
        <w:t xml:space="preserve"> </w:t>
      </w:r>
      <w:r w:rsidR="00561FBA" w:rsidRPr="004A1A26">
        <w:rPr>
          <w:lang w:val="en-GB"/>
        </w:rPr>
        <w:t xml:space="preserve">is </w:t>
      </w:r>
      <w:r w:rsidR="00EA516F">
        <w:rPr>
          <w:lang w:val="en-GB"/>
        </w:rPr>
        <w:t xml:space="preserve">taking the </w:t>
      </w:r>
      <w:r w:rsidRPr="004A1A26">
        <w:rPr>
          <w:lang w:val="en-GB"/>
        </w:rPr>
        <w:t>leading role in negotiation</w:t>
      </w:r>
      <w:r w:rsidR="003B4E0B" w:rsidRPr="004A1A26">
        <w:rPr>
          <w:lang w:val="en-GB"/>
        </w:rPr>
        <w:t>s</w:t>
      </w:r>
      <w:r w:rsidRPr="004A1A26">
        <w:rPr>
          <w:lang w:val="en-GB"/>
        </w:rPr>
        <w:t xml:space="preserve"> as a global actor </w:t>
      </w:r>
      <w:r w:rsidR="003B4E0B" w:rsidRPr="004A1A26">
        <w:rPr>
          <w:lang w:val="en-GB"/>
        </w:rPr>
        <w:t>and an</w:t>
      </w:r>
      <w:r w:rsidRPr="004A1A26">
        <w:rPr>
          <w:lang w:val="en-GB"/>
        </w:rPr>
        <w:t xml:space="preserve"> increasing role in environmental politics, while the other</w:t>
      </w:r>
      <w:r w:rsidR="003B4E0B" w:rsidRPr="004A1A26">
        <w:rPr>
          <w:lang w:val="en-GB"/>
        </w:rPr>
        <w:t>,</w:t>
      </w:r>
      <w:r w:rsidRPr="004A1A26">
        <w:rPr>
          <w:lang w:val="en-GB"/>
        </w:rPr>
        <w:t xml:space="preserve"> like </w:t>
      </w:r>
      <w:r w:rsidR="00561FBA" w:rsidRPr="004A1A26">
        <w:rPr>
          <w:lang w:val="en-GB"/>
        </w:rPr>
        <w:t>the Association of South East Asian Nations (</w:t>
      </w:r>
      <w:r w:rsidRPr="004A1A26">
        <w:rPr>
          <w:lang w:val="en-GB"/>
        </w:rPr>
        <w:t>ASEAN</w:t>
      </w:r>
      <w:r w:rsidR="00561FBA" w:rsidRPr="004A1A26">
        <w:rPr>
          <w:lang w:val="en-GB"/>
        </w:rPr>
        <w:t>)</w:t>
      </w:r>
      <w:r w:rsidR="003B4E0B" w:rsidRPr="004A1A26">
        <w:rPr>
          <w:lang w:val="en-GB"/>
        </w:rPr>
        <w:t>,</w:t>
      </w:r>
      <w:r w:rsidR="00EA516F">
        <w:rPr>
          <w:lang w:val="en-GB"/>
        </w:rPr>
        <w:t xml:space="preserve"> </w:t>
      </w:r>
      <w:r w:rsidR="00561FBA" w:rsidRPr="004A1A26">
        <w:rPr>
          <w:lang w:val="en-GB"/>
        </w:rPr>
        <w:t xml:space="preserve">is to </w:t>
      </w:r>
      <w:r w:rsidRPr="004A1A26">
        <w:rPr>
          <w:lang w:val="en-GB"/>
        </w:rPr>
        <w:t>function as an international forum. Both provide opportunit</w:t>
      </w:r>
      <w:r w:rsidR="003B4E0B" w:rsidRPr="004A1A26">
        <w:rPr>
          <w:lang w:val="en-GB"/>
        </w:rPr>
        <w:t>ies</w:t>
      </w:r>
      <w:r w:rsidRPr="004A1A26">
        <w:rPr>
          <w:lang w:val="en-GB"/>
        </w:rPr>
        <w:t xml:space="preserve"> to set </w:t>
      </w:r>
      <w:r w:rsidR="003B4E0B" w:rsidRPr="004A1A26">
        <w:rPr>
          <w:lang w:val="en-GB"/>
        </w:rPr>
        <w:t xml:space="preserve">regional </w:t>
      </w:r>
      <w:r w:rsidRPr="004A1A26">
        <w:rPr>
          <w:lang w:val="en-GB"/>
        </w:rPr>
        <w:t>agenda</w:t>
      </w:r>
      <w:r w:rsidR="00EA516F">
        <w:rPr>
          <w:lang w:val="en-GB"/>
        </w:rPr>
        <w:t>s</w:t>
      </w:r>
      <w:r w:rsidRPr="004A1A26">
        <w:rPr>
          <w:lang w:val="en-GB"/>
        </w:rPr>
        <w:t xml:space="preserve">, learn new knowledge and perspectives, share information and discuss common issues. Treaty secretariats could influence </w:t>
      </w:r>
      <w:r w:rsidR="00982AE9" w:rsidRPr="004A1A26">
        <w:rPr>
          <w:lang w:val="en-GB"/>
        </w:rPr>
        <w:t xml:space="preserve">the </w:t>
      </w:r>
      <w:r w:rsidRPr="004A1A26">
        <w:rPr>
          <w:lang w:val="en-GB"/>
        </w:rPr>
        <w:t xml:space="preserve">negotiation </w:t>
      </w:r>
      <w:r w:rsidR="00982AE9" w:rsidRPr="004A1A26">
        <w:rPr>
          <w:lang w:val="en-GB"/>
        </w:rPr>
        <w:t xml:space="preserve">process </w:t>
      </w:r>
      <w:r w:rsidR="00F340B7" w:rsidRPr="004A1A26">
        <w:rPr>
          <w:lang w:val="en-GB"/>
        </w:rPr>
        <w:t>among</w:t>
      </w:r>
      <w:r w:rsidR="00EA516F">
        <w:rPr>
          <w:lang w:val="en-GB"/>
        </w:rPr>
        <w:t xml:space="preserve"> </w:t>
      </w:r>
      <w:r w:rsidR="00982AE9" w:rsidRPr="004A1A26">
        <w:rPr>
          <w:lang w:val="en-GB"/>
        </w:rPr>
        <w:t>S</w:t>
      </w:r>
      <w:r w:rsidRPr="004A1A26">
        <w:rPr>
          <w:lang w:val="en-GB"/>
        </w:rPr>
        <w:t>tates under the accords. Like-minded group</w:t>
      </w:r>
      <w:r w:rsidR="003B4E0B" w:rsidRPr="004A1A26">
        <w:rPr>
          <w:lang w:val="en-GB"/>
        </w:rPr>
        <w:t>s</w:t>
      </w:r>
      <w:r w:rsidRPr="004A1A26">
        <w:rPr>
          <w:lang w:val="en-GB"/>
        </w:rPr>
        <w:t>, alliance</w:t>
      </w:r>
      <w:r w:rsidR="003B4E0B" w:rsidRPr="004A1A26">
        <w:rPr>
          <w:lang w:val="en-GB"/>
        </w:rPr>
        <w:t>s</w:t>
      </w:r>
      <w:r w:rsidRPr="004A1A26">
        <w:rPr>
          <w:lang w:val="en-GB"/>
        </w:rPr>
        <w:t xml:space="preserve"> and friends of </w:t>
      </w:r>
      <w:r w:rsidR="003B4E0B" w:rsidRPr="004A1A26">
        <w:rPr>
          <w:lang w:val="en-GB"/>
        </w:rPr>
        <w:t xml:space="preserve">the </w:t>
      </w:r>
      <w:r w:rsidR="00982AE9" w:rsidRPr="004A1A26">
        <w:rPr>
          <w:lang w:val="en-GB"/>
        </w:rPr>
        <w:t>C</w:t>
      </w:r>
      <w:r w:rsidRPr="004A1A26">
        <w:rPr>
          <w:lang w:val="en-GB"/>
        </w:rPr>
        <w:t>hair</w:t>
      </w:r>
      <w:r w:rsidR="003B4E0B" w:rsidRPr="004A1A26">
        <w:rPr>
          <w:lang w:val="en-GB"/>
        </w:rPr>
        <w:t>s</w:t>
      </w:r>
      <w:r w:rsidRPr="004A1A26">
        <w:rPr>
          <w:lang w:val="en-GB"/>
        </w:rPr>
        <w:t xml:space="preserve"> could also lead, mediate or </w:t>
      </w:r>
      <w:r w:rsidR="00982AE9" w:rsidRPr="004A1A26">
        <w:rPr>
          <w:lang w:val="en-GB"/>
        </w:rPr>
        <w:t>slow down</w:t>
      </w:r>
      <w:r w:rsidRPr="004A1A26">
        <w:rPr>
          <w:lang w:val="en-GB"/>
        </w:rPr>
        <w:t xml:space="preserve"> negotiation</w:t>
      </w:r>
      <w:r w:rsidR="003B4E0B" w:rsidRPr="004A1A26">
        <w:rPr>
          <w:lang w:val="en-GB"/>
        </w:rPr>
        <w:t>s</w:t>
      </w:r>
      <w:r w:rsidRPr="004A1A26">
        <w:rPr>
          <w:lang w:val="en-GB"/>
        </w:rPr>
        <w:t>. Some of these cooperation process</w:t>
      </w:r>
      <w:r w:rsidR="003B4E0B" w:rsidRPr="004A1A26">
        <w:rPr>
          <w:lang w:val="en-GB"/>
        </w:rPr>
        <w:t>es</w:t>
      </w:r>
      <w:r w:rsidRPr="004A1A26">
        <w:rPr>
          <w:lang w:val="en-GB"/>
        </w:rPr>
        <w:t xml:space="preserve"> could also be activated by environmental NGOs, green parties and citizens as </w:t>
      </w:r>
      <w:r w:rsidR="00F340B7" w:rsidRPr="004A1A26">
        <w:rPr>
          <w:lang w:val="en-GB"/>
        </w:rPr>
        <w:t>well</w:t>
      </w:r>
      <w:r w:rsidRPr="004A1A26">
        <w:rPr>
          <w:lang w:val="en-GB"/>
        </w:rPr>
        <w:t xml:space="preserve"> as international organizations such as WHO, </w:t>
      </w:r>
      <w:r w:rsidR="00982AE9" w:rsidRPr="004A1A26">
        <w:rPr>
          <w:lang w:val="en-GB"/>
        </w:rPr>
        <w:t xml:space="preserve">the </w:t>
      </w:r>
      <w:r w:rsidRPr="004A1A26">
        <w:rPr>
          <w:lang w:val="en-GB"/>
        </w:rPr>
        <w:t>World Meteorol</w:t>
      </w:r>
      <w:r w:rsidR="00F340B7" w:rsidRPr="004A1A26">
        <w:rPr>
          <w:lang w:val="en-GB"/>
        </w:rPr>
        <w:t>ogical</w:t>
      </w:r>
      <w:r w:rsidRPr="004A1A26">
        <w:rPr>
          <w:lang w:val="en-GB"/>
        </w:rPr>
        <w:t xml:space="preserve"> Organization (WMO), </w:t>
      </w:r>
      <w:r w:rsidR="00982AE9" w:rsidRPr="004A1A26">
        <w:rPr>
          <w:lang w:val="en-GB"/>
        </w:rPr>
        <w:t xml:space="preserve">the </w:t>
      </w:r>
      <w:r w:rsidRPr="004A1A26">
        <w:rPr>
          <w:lang w:val="en-GB"/>
        </w:rPr>
        <w:t>Organi</w:t>
      </w:r>
      <w:r w:rsidR="00982AE9" w:rsidRPr="004A1A26">
        <w:rPr>
          <w:lang w:val="en-GB"/>
        </w:rPr>
        <w:t>s</w:t>
      </w:r>
      <w:r w:rsidRPr="004A1A26">
        <w:rPr>
          <w:lang w:val="en-GB"/>
        </w:rPr>
        <w:t>ation for Economic Co</w:t>
      </w:r>
      <w:r w:rsidR="00982AE9" w:rsidRPr="004A1A26">
        <w:rPr>
          <w:lang w:val="en-GB"/>
        </w:rPr>
        <w:t>-</w:t>
      </w:r>
      <w:r w:rsidRPr="004A1A26">
        <w:rPr>
          <w:lang w:val="en-GB"/>
        </w:rPr>
        <w:t xml:space="preserve">operation and Development (OECD), </w:t>
      </w:r>
      <w:r w:rsidR="00982AE9" w:rsidRPr="004A1A26">
        <w:rPr>
          <w:lang w:val="en-GB"/>
        </w:rPr>
        <w:t xml:space="preserve">the </w:t>
      </w:r>
      <w:r w:rsidRPr="004A1A26">
        <w:rPr>
          <w:lang w:val="en-GB"/>
        </w:rPr>
        <w:t xml:space="preserve">International Energy Agency (IEA), IMO, </w:t>
      </w:r>
      <w:r w:rsidR="00982AE9" w:rsidRPr="004A1A26">
        <w:rPr>
          <w:lang w:val="en-GB"/>
        </w:rPr>
        <w:t xml:space="preserve">the </w:t>
      </w:r>
      <w:r w:rsidRPr="004A1A26">
        <w:rPr>
          <w:lang w:val="en-GB"/>
        </w:rPr>
        <w:t>International Civil Aviation Organization (ICAO) and UN</w:t>
      </w:r>
      <w:r w:rsidR="00982AE9" w:rsidRPr="004A1A26">
        <w:rPr>
          <w:lang w:val="en-GB"/>
        </w:rPr>
        <w:t>EP,</w:t>
      </w:r>
      <w:r w:rsidRPr="004A1A26">
        <w:rPr>
          <w:lang w:val="en-GB"/>
        </w:rPr>
        <w:t xml:space="preserve"> helping to set the environmental agenda, framing environmental issues or providing resources for international cooperation.</w:t>
      </w:r>
    </w:p>
    <w:p w14:paraId="46793252" w14:textId="7ECD1289" w:rsidR="00F340B7" w:rsidRPr="004A1A26" w:rsidRDefault="00592FC6" w:rsidP="00B477F5">
      <w:r w:rsidRPr="004A1A26">
        <w:t xml:space="preserve">As introduced in </w:t>
      </w:r>
      <w:r w:rsidR="00467DD8">
        <w:t>Section 5.5</w:t>
      </w:r>
      <w:r w:rsidRPr="004A1A26">
        <w:t xml:space="preserve">, global MEAs which have linkages to air pollution are </w:t>
      </w:r>
      <w:r w:rsidR="000A1B19">
        <w:t xml:space="preserve">those </w:t>
      </w:r>
      <w:proofErr w:type="gramStart"/>
      <w:r w:rsidR="000A1B19">
        <w:t xml:space="preserve">targeting  </w:t>
      </w:r>
      <w:r w:rsidRPr="004A1A26">
        <w:t>climate</w:t>
      </w:r>
      <w:proofErr w:type="gramEnd"/>
      <w:r w:rsidRPr="004A1A26">
        <w:t xml:space="preserve"> change (UNFCCC), stratospheric ozone depletion (Vienna Convention and Montreal Protocol), mercury (Minamata Convention) and persistent organic pollutants (Stockholm Convention). </w:t>
      </w:r>
      <w:r w:rsidR="003B4E0B" w:rsidRPr="004A1A26">
        <w:rPr>
          <w:rFonts w:cs="Arial"/>
          <w:color w:val="222222"/>
        </w:rPr>
        <w:t>Although</w:t>
      </w:r>
      <w:r w:rsidRPr="004A1A26">
        <w:rPr>
          <w:rFonts w:cs="Arial"/>
          <w:color w:val="222222"/>
        </w:rPr>
        <w:t xml:space="preserve"> there is no global convention on air pollution, </w:t>
      </w:r>
      <w:r w:rsidR="003B4E0B" w:rsidRPr="004A1A26">
        <w:t>several</w:t>
      </w:r>
      <w:r w:rsidRPr="004A1A26">
        <w:t xml:space="preserve"> regional MEAs and bilateral agreements exist</w:t>
      </w:r>
      <w:r w:rsidRPr="004A1A26">
        <w:rPr>
          <w:rFonts w:cs="Arial"/>
          <w:color w:val="222222"/>
        </w:rPr>
        <w:t xml:space="preserve">. </w:t>
      </w:r>
      <w:r w:rsidRPr="004A1A26">
        <w:t xml:space="preserve">One of the oldest regional MEAs is the </w:t>
      </w:r>
      <w:r w:rsidR="00F340B7" w:rsidRPr="004A1A26">
        <w:t>1979</w:t>
      </w:r>
      <w:r w:rsidR="006561E7">
        <w:t xml:space="preserve"> </w:t>
      </w:r>
      <w:r w:rsidR="003B4E0B" w:rsidRPr="004A1A26">
        <w:t>C</w:t>
      </w:r>
      <w:r w:rsidRPr="004A1A26">
        <w:t xml:space="preserve">LRTAP negotiated under UNECE. Considerable </w:t>
      </w:r>
      <w:r w:rsidR="00F340B7" w:rsidRPr="004A1A26">
        <w:t>progress</w:t>
      </w:r>
      <w:r w:rsidRPr="004A1A26">
        <w:t xml:space="preserve"> on policy cooperation, monitoring and modelling, </w:t>
      </w:r>
      <w:r w:rsidR="00F340B7" w:rsidRPr="004A1A26">
        <w:t>emission</w:t>
      </w:r>
      <w:r w:rsidR="00561FBA" w:rsidRPr="004A1A26">
        <w:t>s</w:t>
      </w:r>
      <w:r w:rsidRPr="004A1A26">
        <w:t xml:space="preserve"> control and reporting</w:t>
      </w:r>
      <w:r w:rsidR="00561FBA" w:rsidRPr="004A1A26">
        <w:t>,</w:t>
      </w:r>
      <w:r w:rsidRPr="004A1A26">
        <w:t xml:space="preserve"> and ecosystems recovery has been achieved under the eight legally binding CLRTAP Protocols.</w:t>
      </w:r>
    </w:p>
    <w:p w14:paraId="328C56B2" w14:textId="1C4D1964" w:rsidR="00F340B7" w:rsidRPr="004A1A26" w:rsidRDefault="00D55BA3" w:rsidP="00B477F5">
      <w:r w:rsidRPr="004A1A26">
        <w:t xml:space="preserve">It is difficult to evaluate the impact of international agreements. </w:t>
      </w:r>
      <w:r w:rsidR="00F32F98" w:rsidRPr="004A1A26">
        <w:t xml:space="preserve">Compliance with legal commitments </w:t>
      </w:r>
      <w:r w:rsidR="00536A2A" w:rsidRPr="004A1A26">
        <w:t xml:space="preserve">can be evaluated, but it is not always clear </w:t>
      </w:r>
      <w:r w:rsidRPr="004A1A26">
        <w:t xml:space="preserve">that </w:t>
      </w:r>
      <w:r w:rsidR="00F340B7" w:rsidRPr="004A1A26">
        <w:t>emission</w:t>
      </w:r>
      <w:r w:rsidRPr="004A1A26">
        <w:t xml:space="preserve"> decreases that occur are a result of an international agreement or if they would have occurred in the absence of the agreement. Furthermore, perfect compliance may be an indication of unambitious targets that require little more than business as usual</w:t>
      </w:r>
      <w:r w:rsidR="006561E7">
        <w:t xml:space="preserve"> efforts</w:t>
      </w:r>
      <w:r w:rsidRPr="004A1A26">
        <w:t>.</w:t>
      </w:r>
    </w:p>
    <w:p w14:paraId="4CE6BB83" w14:textId="77777777" w:rsidR="00F340B7" w:rsidRPr="004A1A26" w:rsidRDefault="00F32F98" w:rsidP="00B477F5">
      <w:r w:rsidRPr="004A1A26">
        <w:t xml:space="preserve">None of the </w:t>
      </w:r>
      <w:r w:rsidR="00592FC6" w:rsidRPr="004A1A26">
        <w:t>MEAs</w:t>
      </w:r>
      <w:r w:rsidRPr="004A1A26">
        <w:t xml:space="preserve"> identified above have an effective international enforcement mechanism. Depending on a country</w:t>
      </w:r>
      <w:r w:rsidR="00F340B7" w:rsidRPr="004A1A26">
        <w:t>’</w:t>
      </w:r>
      <w:r w:rsidRPr="004A1A26">
        <w:t xml:space="preserve">s own laws, a national government may be taken to court in its own country for not abiding by its international treaties. However, this kind of action is rare, and ensuring compliance with international commitments mostly relies on diplomatic </w:t>
      </w:r>
      <w:r w:rsidR="003B4E0B" w:rsidRPr="004A1A26">
        <w:t xml:space="preserve">or peer </w:t>
      </w:r>
      <w:r w:rsidRPr="004A1A26">
        <w:t>pressure.</w:t>
      </w:r>
    </w:p>
    <w:p w14:paraId="4AB46A0E" w14:textId="77777777" w:rsidR="00F340B7" w:rsidRPr="004A1A26" w:rsidRDefault="00F32F98" w:rsidP="00B477F5">
      <w:bookmarkStart w:id="50" w:name="_z337ya" w:colFirst="0" w:colLast="0"/>
      <w:bookmarkEnd w:id="50"/>
      <w:r w:rsidRPr="004A1A26">
        <w:lastRenderedPageBreak/>
        <w:t xml:space="preserve">The following case study explores the </w:t>
      </w:r>
      <w:r w:rsidR="00F340B7" w:rsidRPr="004A1A26">
        <w:t>progress</w:t>
      </w:r>
      <w:r w:rsidRPr="004A1A26">
        <w:t xml:space="preserve"> made under the regional agreement on transboundary haze negotiated under ASEAN in </w:t>
      </w:r>
      <w:r w:rsidR="00F340B7" w:rsidRPr="004A1A26">
        <w:t>2002</w:t>
      </w:r>
      <w:r w:rsidRPr="004A1A26">
        <w:t>.</w:t>
      </w:r>
      <w:r w:rsidR="00592FC6" w:rsidRPr="004A1A26">
        <w:t xml:space="preserve"> This case provide</w:t>
      </w:r>
      <w:r w:rsidR="003B4E0B" w:rsidRPr="004A1A26">
        <w:t>s valuable</w:t>
      </w:r>
      <w:r w:rsidR="00592FC6" w:rsidRPr="004A1A26">
        <w:t xml:space="preserve"> lessons on </w:t>
      </w:r>
      <w:r w:rsidR="003B4E0B" w:rsidRPr="004A1A26">
        <w:t xml:space="preserve">the </w:t>
      </w:r>
      <w:r w:rsidR="00592FC6" w:rsidRPr="004A1A26">
        <w:t>challenge</w:t>
      </w:r>
      <w:r w:rsidR="003B4E0B" w:rsidRPr="004A1A26">
        <w:t>s</w:t>
      </w:r>
      <w:r w:rsidR="00592FC6" w:rsidRPr="004A1A26">
        <w:t xml:space="preserve"> of international cooperation.</w:t>
      </w:r>
    </w:p>
    <w:p w14:paraId="06557049" w14:textId="77777777" w:rsidR="00F340B7" w:rsidRPr="004A1A26" w:rsidRDefault="00F32F98" w:rsidP="00375A5D">
      <w:pPr>
        <w:pStyle w:val="Heading4"/>
      </w:pPr>
      <w:bookmarkStart w:id="51" w:name="_Toc500317247"/>
      <w:bookmarkStart w:id="52" w:name="_Toc500317440"/>
      <w:bookmarkStart w:id="53" w:name="_Toc500334338"/>
      <w:r w:rsidRPr="004A1A26">
        <w:t xml:space="preserve">Case </w:t>
      </w:r>
      <w:r w:rsidR="00561FBA" w:rsidRPr="004A1A26">
        <w:t>s</w:t>
      </w:r>
      <w:r w:rsidRPr="004A1A26">
        <w:t>tudy: ASEAN Agreement on Transboundary Haze</w:t>
      </w:r>
      <w:bookmarkEnd w:id="51"/>
      <w:bookmarkEnd w:id="52"/>
      <w:bookmarkEnd w:id="53"/>
      <w:r w:rsidR="00561FBA" w:rsidRPr="004A1A26">
        <w:t xml:space="preserve"> Pollution</w:t>
      </w:r>
    </w:p>
    <w:p w14:paraId="16C141CA" w14:textId="5398D154" w:rsidR="00F340B7" w:rsidRPr="004A1A26" w:rsidRDefault="00F83BF4" w:rsidP="00B477F5">
      <w:bookmarkStart w:id="54" w:name="_Hlk528502492"/>
      <w:r w:rsidRPr="004A1A26">
        <w:t xml:space="preserve">Haze </w:t>
      </w:r>
      <w:r w:rsidR="00561FBA" w:rsidRPr="004A1A26">
        <w:t>(</w:t>
      </w:r>
      <w:r w:rsidRPr="004A1A26">
        <w:t xml:space="preserve">or smoke-haze </w:t>
      </w:r>
      <w:r w:rsidR="003B4E0B" w:rsidRPr="004A1A26">
        <w:t>a</w:t>
      </w:r>
      <w:r w:rsidRPr="004A1A26">
        <w:t>s used in Southeast Asia</w:t>
      </w:r>
      <w:r w:rsidR="00561FBA" w:rsidRPr="004A1A26">
        <w:t>)</w:t>
      </w:r>
      <w:r w:rsidR="006561E7">
        <w:t xml:space="preserve"> </w:t>
      </w:r>
      <w:r w:rsidR="003B4E0B" w:rsidRPr="004A1A26">
        <w:t xml:space="preserve">is </w:t>
      </w:r>
      <w:r w:rsidRPr="004A1A26">
        <w:t xml:space="preserve">synonymous with air pollution from wildfires and </w:t>
      </w:r>
      <w:r w:rsidR="00561FBA" w:rsidRPr="004A1A26">
        <w:t xml:space="preserve">the burning of </w:t>
      </w:r>
      <w:r w:rsidRPr="004A1A26">
        <w:t>agricultur</w:t>
      </w:r>
      <w:r w:rsidR="00561FBA" w:rsidRPr="004A1A26">
        <w:t xml:space="preserve">al </w:t>
      </w:r>
      <w:r w:rsidRPr="004A1A26">
        <w:t xml:space="preserve">waste </w:t>
      </w:r>
      <w:r w:rsidR="00561FBA" w:rsidRPr="004A1A26">
        <w:t>by</w:t>
      </w:r>
      <w:r w:rsidR="00C0301F" w:rsidRPr="004A1A26">
        <w:t xml:space="preserve"> rural populations in </w:t>
      </w:r>
      <w:r w:rsidR="00561FBA" w:rsidRPr="004A1A26">
        <w:t xml:space="preserve">Cambodia, Indonesia, </w:t>
      </w:r>
      <w:r w:rsidRPr="004A1A26">
        <w:t>Lao</w:t>
      </w:r>
      <w:r w:rsidR="00C0301F" w:rsidRPr="004A1A26">
        <w:t xml:space="preserve"> PDR</w:t>
      </w:r>
      <w:r w:rsidR="00561FBA" w:rsidRPr="004A1A26">
        <w:t xml:space="preserve"> and Myanmar</w:t>
      </w:r>
      <w:r w:rsidRPr="004A1A26">
        <w:t xml:space="preserve">. In Singapore and Malaysia, however, haze also refers to </w:t>
      </w:r>
      <w:r w:rsidR="00F340B7" w:rsidRPr="004A1A26">
        <w:t>‘</w:t>
      </w:r>
      <w:r w:rsidRPr="004A1A26">
        <w:t>domestic pollution</w:t>
      </w:r>
      <w:r w:rsidR="00F340B7" w:rsidRPr="004A1A26">
        <w:t>’</w:t>
      </w:r>
      <w:r w:rsidRPr="004A1A26">
        <w:t xml:space="preserve"> from industry and traffic. </w:t>
      </w:r>
      <w:r w:rsidR="00C0301F" w:rsidRPr="004A1A26">
        <w:t xml:space="preserve">Haze </w:t>
      </w:r>
      <w:r w:rsidRPr="004A1A26">
        <w:t xml:space="preserve">is categorized as a transboundary issue when </w:t>
      </w:r>
      <w:r w:rsidRPr="004A1A26">
        <w:rPr>
          <w:color w:val="000000" w:themeColor="text1"/>
        </w:rPr>
        <w:t xml:space="preserve">“its density and extent is so great at the source that it remains at measurable levels after crossing into a country’s airspace” </w:t>
      </w:r>
      <w:r w:rsidRPr="004A1A26">
        <w:t>(Haze Action Online</w:t>
      </w:r>
      <w:r w:rsidR="00C07E67">
        <w:t xml:space="preserve"> </w:t>
      </w:r>
      <w:r w:rsidR="00F340B7" w:rsidRPr="004A1A26">
        <w:t>2017</w:t>
      </w:r>
      <w:r w:rsidRPr="004A1A26">
        <w:t>)</w:t>
      </w:r>
      <w:r w:rsidR="004B6B13" w:rsidRPr="004A1A26">
        <w:t>.</w:t>
      </w:r>
      <w:r w:rsidRPr="004A1A26">
        <w:t xml:space="preserve"> The worst haze episodes occur in years affected simultaneously by the climatol</w:t>
      </w:r>
      <w:r w:rsidR="00F340B7" w:rsidRPr="004A1A26">
        <w:t>ogical</w:t>
      </w:r>
      <w:r w:rsidRPr="004A1A26">
        <w:t xml:space="preserve"> anomalies of </w:t>
      </w:r>
      <w:r w:rsidRPr="004A1A26">
        <w:rPr>
          <w:i/>
        </w:rPr>
        <w:t>El Niño</w:t>
      </w:r>
      <w:r w:rsidR="00561FBA" w:rsidRPr="004A1A26">
        <w:t>—</w:t>
      </w:r>
      <w:r w:rsidR="00F340B7" w:rsidRPr="004A1A26">
        <w:t>Southern</w:t>
      </w:r>
      <w:r w:rsidRPr="004A1A26">
        <w:t xml:space="preserve"> Oscillation and Indian Ocean Dipole. </w:t>
      </w:r>
      <w:r w:rsidR="00C0301F" w:rsidRPr="004A1A26">
        <w:t>A</w:t>
      </w:r>
      <w:r w:rsidRPr="004A1A26">
        <w:t xml:space="preserve"> severe haze </w:t>
      </w:r>
      <w:r w:rsidR="00C0301F" w:rsidRPr="004A1A26">
        <w:t xml:space="preserve">event </w:t>
      </w:r>
      <w:r w:rsidRPr="004A1A26">
        <w:t xml:space="preserve">in </w:t>
      </w:r>
      <w:r w:rsidR="00F340B7" w:rsidRPr="004A1A26">
        <w:t>2015</w:t>
      </w:r>
      <w:r w:rsidRPr="004A1A26">
        <w:t xml:space="preserve"> was caused in part </w:t>
      </w:r>
      <w:r w:rsidR="00561FBA" w:rsidRPr="004A1A26">
        <w:t>by</w:t>
      </w:r>
      <w:r w:rsidRPr="004A1A26">
        <w:t xml:space="preserve"> the dryness triggered by both anomalies in the region, particularly </w:t>
      </w:r>
      <w:r w:rsidR="00561FBA" w:rsidRPr="004A1A26">
        <w:t xml:space="preserve">on </w:t>
      </w:r>
      <w:r w:rsidRPr="004A1A26">
        <w:t>the Indonesian islands of Sumatra and Kalimantan (</w:t>
      </w:r>
      <w:proofErr w:type="spellStart"/>
      <w:r w:rsidRPr="004A1A26">
        <w:t>Koplitz</w:t>
      </w:r>
      <w:proofErr w:type="spellEnd"/>
      <w:r w:rsidR="0042270D">
        <w:t xml:space="preserve"> </w:t>
      </w:r>
      <w:r w:rsidRPr="004A1A26">
        <w:rPr>
          <w:i/>
        </w:rPr>
        <w:t>et al</w:t>
      </w:r>
      <w:r w:rsidRPr="004A1A26">
        <w:t xml:space="preserve">. </w:t>
      </w:r>
      <w:r w:rsidR="00F340B7" w:rsidRPr="004A1A26">
        <w:t>2016</w:t>
      </w:r>
      <w:r w:rsidRPr="004A1A26">
        <w:t>).</w:t>
      </w:r>
    </w:p>
    <w:p w14:paraId="0F05AEBD" w14:textId="68F0D1F7" w:rsidR="00F340B7" w:rsidRPr="004A1A26" w:rsidRDefault="00F83BF4" w:rsidP="00B477F5">
      <w:r w:rsidRPr="004A1A26">
        <w:t>Haze is a health issue</w:t>
      </w:r>
      <w:r w:rsidR="00C0301F" w:rsidRPr="004A1A26">
        <w:t xml:space="preserve">, </w:t>
      </w:r>
      <w:r w:rsidRPr="004A1A26">
        <w:t>worsen</w:t>
      </w:r>
      <w:r w:rsidR="00C0301F" w:rsidRPr="004A1A26">
        <w:t>ing</w:t>
      </w:r>
      <w:r w:rsidRPr="004A1A26">
        <w:t xml:space="preserve"> existing heart and lung conditions</w:t>
      </w:r>
      <w:r w:rsidR="006561E7">
        <w:t xml:space="preserve"> </w:t>
      </w:r>
      <w:r w:rsidR="00A908DE" w:rsidRPr="004A1A26">
        <w:t xml:space="preserve">(WHO </w:t>
      </w:r>
      <w:r w:rsidR="00F340B7" w:rsidRPr="004A1A26">
        <w:t>2016</w:t>
      </w:r>
      <w:r w:rsidR="00A908DE" w:rsidRPr="004A1A26">
        <w:t>).</w:t>
      </w:r>
      <w:r w:rsidR="004C1C51">
        <w:t xml:space="preserve"> </w:t>
      </w:r>
      <w:r w:rsidRPr="004A1A26">
        <w:t xml:space="preserve">It caused acute respiratory infections </w:t>
      </w:r>
      <w:r w:rsidR="00C0301F" w:rsidRPr="004A1A26">
        <w:t>in</w:t>
      </w:r>
      <w:r w:rsidRPr="004A1A26">
        <w:t xml:space="preserve"> over 500,000 </w:t>
      </w:r>
      <w:r w:rsidR="00561FBA" w:rsidRPr="004A1A26">
        <w:t xml:space="preserve">people </w:t>
      </w:r>
      <w:r w:rsidRPr="004A1A26">
        <w:t xml:space="preserve">and </w:t>
      </w:r>
      <w:r w:rsidR="00561FBA" w:rsidRPr="004A1A26">
        <w:t xml:space="preserve">19 </w:t>
      </w:r>
      <w:r w:rsidRPr="004A1A26">
        <w:t>death</w:t>
      </w:r>
      <w:r w:rsidR="00561FBA" w:rsidRPr="004A1A26">
        <w:t>s</w:t>
      </w:r>
      <w:r w:rsidR="006561E7">
        <w:t xml:space="preserve"> </w:t>
      </w:r>
      <w:r w:rsidRPr="004A1A26">
        <w:t xml:space="preserve">in </w:t>
      </w:r>
      <w:r w:rsidR="00F340B7" w:rsidRPr="004A1A26">
        <w:t>2015</w:t>
      </w:r>
      <w:r w:rsidRPr="004A1A26">
        <w:t>. Th</w:t>
      </w:r>
      <w:r w:rsidR="00C0301F" w:rsidRPr="004A1A26">
        <w:t>e</w:t>
      </w:r>
      <w:r w:rsidRPr="004A1A26">
        <w:t xml:space="preserve"> economic cost was estimated at US</w:t>
      </w:r>
      <w:r w:rsidR="006561E7">
        <w:t>$</w:t>
      </w:r>
      <w:r w:rsidRPr="004A1A26">
        <w:rPr>
          <w:rFonts w:eastAsia="MS Mincho"/>
          <w:lang w:eastAsia="ja-JP"/>
        </w:rPr>
        <w:t>1</w:t>
      </w:r>
      <w:r w:rsidRPr="004A1A26">
        <w:t xml:space="preserve">6 </w:t>
      </w:r>
      <w:r w:rsidR="00F340B7" w:rsidRPr="004A1A26">
        <w:t>billion</w:t>
      </w:r>
      <w:r w:rsidRPr="004A1A26">
        <w:t>, affecting the transportation (US</w:t>
      </w:r>
      <w:r w:rsidR="006561E7">
        <w:t>$</w:t>
      </w:r>
      <w:r w:rsidRPr="004A1A26">
        <w:t>372 million), tourism (US</w:t>
      </w:r>
      <w:r w:rsidR="006561E7">
        <w:t>$</w:t>
      </w:r>
      <w:r w:rsidRPr="004A1A26">
        <w:t>399 million), trade (US</w:t>
      </w:r>
      <w:r w:rsidR="006561E7">
        <w:t>$</w:t>
      </w:r>
      <w:r w:rsidRPr="004A1A26">
        <w:t xml:space="preserve">1.3 </w:t>
      </w:r>
      <w:r w:rsidR="00F340B7" w:rsidRPr="004A1A26">
        <w:t>billion</w:t>
      </w:r>
      <w:r w:rsidRPr="004A1A26">
        <w:t xml:space="preserve">), manufacturing and mining, and mass education sectors </w:t>
      </w:r>
      <w:r w:rsidR="004B6B13" w:rsidRPr="004A1A26">
        <w:t xml:space="preserve">(World Bank </w:t>
      </w:r>
      <w:r w:rsidR="00F340B7" w:rsidRPr="004A1A26">
        <w:t>2016</w:t>
      </w:r>
      <w:r w:rsidR="004B6B13" w:rsidRPr="004A1A26">
        <w:t>, p</w:t>
      </w:r>
      <w:r w:rsidR="00561FBA" w:rsidRPr="004A1A26">
        <w:t>p</w:t>
      </w:r>
      <w:r w:rsidR="004B6B13" w:rsidRPr="004A1A26">
        <w:t>. 1</w:t>
      </w:r>
      <w:r w:rsidR="00561FBA" w:rsidRPr="004A1A26">
        <w:t>–</w:t>
      </w:r>
      <w:r w:rsidR="004B6B13" w:rsidRPr="004A1A26">
        <w:t xml:space="preserve">2, </w:t>
      </w:r>
      <w:r w:rsidRPr="004A1A26">
        <w:t>4</w:t>
      </w:r>
      <w:r w:rsidR="00561FBA" w:rsidRPr="004A1A26">
        <w:t>–</w:t>
      </w:r>
      <w:r w:rsidRPr="004A1A26">
        <w:t>8). Emissions from burning peatland</w:t>
      </w:r>
      <w:r w:rsidR="00C0301F" w:rsidRPr="004A1A26">
        <w:t>s</w:t>
      </w:r>
      <w:r w:rsidRPr="004A1A26">
        <w:t xml:space="preserve"> contained 90 gases with high level</w:t>
      </w:r>
      <w:r w:rsidR="00C0301F" w:rsidRPr="004A1A26">
        <w:t>s</w:t>
      </w:r>
      <w:r w:rsidRPr="004A1A26">
        <w:t xml:space="preserve"> of toxicity </w:t>
      </w:r>
      <w:r w:rsidR="00C0301F" w:rsidRPr="004A1A26">
        <w:t>from</w:t>
      </w:r>
      <w:r w:rsidRPr="004A1A26">
        <w:t xml:space="preserve"> formaldehyde, acrolein, benzene, carbon monoxide and nitr</w:t>
      </w:r>
      <w:r w:rsidR="00F340B7" w:rsidRPr="004A1A26">
        <w:t>ogen</w:t>
      </w:r>
      <w:r w:rsidRPr="004A1A26">
        <w:t xml:space="preserve"> dioxide</w:t>
      </w:r>
      <w:r w:rsidR="000B18D9" w:rsidRPr="004A1A26">
        <w:t xml:space="preserve"> (Stockwell </w:t>
      </w:r>
      <w:r w:rsidR="000B18D9" w:rsidRPr="004A1A26">
        <w:rPr>
          <w:i/>
        </w:rPr>
        <w:t>et al</w:t>
      </w:r>
      <w:r w:rsidR="000B18D9" w:rsidRPr="004A1A26">
        <w:t xml:space="preserve">. </w:t>
      </w:r>
      <w:r w:rsidR="00F340B7" w:rsidRPr="004A1A26">
        <w:t>2016</w:t>
      </w:r>
      <w:r w:rsidR="000B18D9" w:rsidRPr="004A1A26">
        <w:t>).</w:t>
      </w:r>
    </w:p>
    <w:p w14:paraId="680D3FA8" w14:textId="0469CC6C" w:rsidR="00F340B7" w:rsidRPr="004A1A26" w:rsidRDefault="00C0301F" w:rsidP="00B477F5">
      <w:r w:rsidRPr="004A1A26">
        <w:t>The f</w:t>
      </w:r>
      <w:r w:rsidR="00F83BF4" w:rsidRPr="004A1A26">
        <w:t xml:space="preserve">irst severe haze episode in </w:t>
      </w:r>
      <w:r w:rsidR="00F340B7" w:rsidRPr="004A1A26">
        <w:t>1997</w:t>
      </w:r>
      <w:r w:rsidR="00F83BF4" w:rsidRPr="004A1A26">
        <w:t>-</w:t>
      </w:r>
      <w:r w:rsidR="00107AC2" w:rsidRPr="004A1A26">
        <w:t>199</w:t>
      </w:r>
      <w:r w:rsidR="00F83BF4" w:rsidRPr="004A1A26">
        <w:t xml:space="preserve">8 called </w:t>
      </w:r>
      <w:r w:rsidRPr="004A1A26">
        <w:t xml:space="preserve">for </w:t>
      </w:r>
      <w:r w:rsidR="00F83BF4" w:rsidRPr="004A1A26">
        <w:t xml:space="preserve">regional action. Following </w:t>
      </w:r>
      <w:r w:rsidRPr="004A1A26">
        <w:t xml:space="preserve">the </w:t>
      </w:r>
      <w:r w:rsidR="00F83BF4" w:rsidRPr="004A1A26">
        <w:t>Asian Development Bank</w:t>
      </w:r>
      <w:r w:rsidR="00F340B7" w:rsidRPr="004A1A26">
        <w:t>’</w:t>
      </w:r>
      <w:r w:rsidR="00F83BF4" w:rsidRPr="004A1A26">
        <w:t>s major damage assessment</w:t>
      </w:r>
      <w:r w:rsidR="000B18D9" w:rsidRPr="004A1A26">
        <w:t xml:space="preserve"> (</w:t>
      </w:r>
      <w:proofErr w:type="spellStart"/>
      <w:r w:rsidR="00C07E67">
        <w:t>Qadri</w:t>
      </w:r>
      <w:proofErr w:type="spellEnd"/>
      <w:r w:rsidR="00C07E67">
        <w:t xml:space="preserve"> ed.</w:t>
      </w:r>
      <w:r w:rsidR="000B18D9" w:rsidRPr="004A1A26">
        <w:t xml:space="preserve"> </w:t>
      </w:r>
      <w:r w:rsidR="00F340B7" w:rsidRPr="004A1A26">
        <w:t>2001</w:t>
      </w:r>
      <w:r w:rsidR="000B18D9" w:rsidRPr="004A1A26">
        <w:t>)</w:t>
      </w:r>
      <w:r w:rsidR="00F83BF4" w:rsidRPr="004A1A26">
        <w:t xml:space="preserve">, the ASEAN Agreement on Transboundary Haze Pollution was adopted in </w:t>
      </w:r>
      <w:r w:rsidR="00F340B7" w:rsidRPr="004A1A26">
        <w:t>2002</w:t>
      </w:r>
      <w:r w:rsidR="00F83BF4" w:rsidRPr="004A1A26">
        <w:t xml:space="preserve"> and entered into force in </w:t>
      </w:r>
      <w:r w:rsidR="00F340B7" w:rsidRPr="004A1A26">
        <w:t>2003</w:t>
      </w:r>
      <w:r w:rsidR="00AE694A" w:rsidRPr="004A1A26">
        <w:t xml:space="preserve"> (Haze Action Online </w:t>
      </w:r>
      <w:r w:rsidR="00306B61" w:rsidRPr="004A1A26">
        <w:t>2018</w:t>
      </w:r>
      <w:r w:rsidR="00AE694A" w:rsidRPr="004A1A26">
        <w:t>; UNEP</w:t>
      </w:r>
      <w:r w:rsidR="00005890">
        <w:t xml:space="preserve"> </w:t>
      </w:r>
      <w:r w:rsidR="00F340B7" w:rsidRPr="004A1A26">
        <w:t>2010</w:t>
      </w:r>
      <w:r w:rsidR="00AE694A" w:rsidRPr="004A1A26">
        <w:t>)</w:t>
      </w:r>
      <w:r w:rsidR="00F83BF4" w:rsidRPr="004A1A26">
        <w:t>.</w:t>
      </w:r>
    </w:p>
    <w:p w14:paraId="5F4FF64F" w14:textId="1FC6DF74" w:rsidR="00F340B7" w:rsidRPr="004A1A26" w:rsidRDefault="00645DAF" w:rsidP="00645DAF">
      <w:r w:rsidRPr="004A1A26">
        <w:t xml:space="preserve">The Agreement attempts to achieve a haze-free region in the 10 ASEAN countries by preventing, monitoring and mitigating land and forest fires. The ASEAN Haze Monitoring System was </w:t>
      </w:r>
      <w:r w:rsidR="00F340B7" w:rsidRPr="004A1A26">
        <w:t>set up</w:t>
      </w:r>
      <w:r w:rsidRPr="004A1A26">
        <w:t xml:space="preserve"> to identify </w:t>
      </w:r>
      <w:r w:rsidR="00F340B7" w:rsidRPr="004A1A26">
        <w:t>hotspot</w:t>
      </w:r>
      <w:r w:rsidRPr="004A1A26">
        <w:t>s</w:t>
      </w:r>
      <w:r w:rsidRPr="004A1A26">
        <w:rPr>
          <w:lang w:eastAsia="ja-JP"/>
        </w:rPr>
        <w:t xml:space="preserve"> through high-resolution satellite images and detailed land concession maps.</w:t>
      </w:r>
      <w:r w:rsidRPr="004A1A26">
        <w:t xml:space="preserve"> The ASEAN </w:t>
      </w:r>
      <w:r w:rsidRPr="004A1A26">
        <w:rPr>
          <w:color w:val="010000"/>
        </w:rPr>
        <w:t>Special</w:t>
      </w:r>
      <w:r w:rsidR="00F340B7" w:rsidRPr="004A1A26">
        <w:rPr>
          <w:color w:val="010000"/>
        </w:rPr>
        <w:t>ize</w:t>
      </w:r>
      <w:r w:rsidRPr="004A1A26">
        <w:rPr>
          <w:color w:val="010000"/>
        </w:rPr>
        <w:t>d</w:t>
      </w:r>
      <w:r w:rsidRPr="004A1A26">
        <w:t xml:space="preserve"> Meteorol</w:t>
      </w:r>
      <w:r w:rsidR="00F340B7" w:rsidRPr="004A1A26">
        <w:t>ogical</w:t>
      </w:r>
      <w:r w:rsidRPr="004A1A26">
        <w:t xml:space="preserve"> Centre provides timely air quality information. The Malaysian Meteorol</w:t>
      </w:r>
      <w:r w:rsidR="00F340B7" w:rsidRPr="004A1A26">
        <w:t>ogical</w:t>
      </w:r>
      <w:r w:rsidRPr="004A1A26">
        <w:t xml:space="preserve"> Department also manages monitoring and provides information to forest managers through Fire Danger Rating Systems. However, monitoring stations and public data accessibility are limited</w:t>
      </w:r>
      <w:r w:rsidR="006561E7">
        <w:t xml:space="preserve"> </w:t>
      </w:r>
      <w:r w:rsidRPr="004A1A26">
        <w:t>(Velasco and Rastan</w:t>
      </w:r>
      <w:r w:rsidR="00F340B7" w:rsidRPr="004A1A26">
        <w:t>2015</w:t>
      </w:r>
      <w:r w:rsidRPr="004A1A26">
        <w:t>).</w:t>
      </w:r>
    </w:p>
    <w:p w14:paraId="19A90C38" w14:textId="5DBC9B73" w:rsidR="00911D19" w:rsidRPr="004A1A26" w:rsidRDefault="00420EE0" w:rsidP="006561E7">
      <w:pPr>
        <w:pStyle w:val="Caption"/>
        <w:keepNext/>
        <w:keepLines/>
      </w:pPr>
      <w:r w:rsidRPr="004A1A26">
        <w:lastRenderedPageBreak/>
        <w:t xml:space="preserve">Table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00AA4BDC" w:rsidRPr="004A1A26">
        <w:t>.</w:t>
      </w:r>
      <w:r w:rsidR="00350B00" w:rsidRPr="004A1A26">
        <w:rPr>
          <w:noProof/>
        </w:rPr>
        <w:fldChar w:fldCharType="begin"/>
      </w:r>
      <w:r w:rsidR="00D169A0" w:rsidRPr="004A1A26">
        <w:rPr>
          <w:noProof/>
        </w:rPr>
        <w:instrText xml:space="preserve"> SEQ Table \* ARABIC \s 1 </w:instrText>
      </w:r>
      <w:r w:rsidR="00350B00" w:rsidRPr="004A1A26">
        <w:rPr>
          <w:noProof/>
        </w:rPr>
        <w:fldChar w:fldCharType="separate"/>
      </w:r>
      <w:r w:rsidR="00430786" w:rsidRPr="004A1A26">
        <w:rPr>
          <w:noProof/>
        </w:rPr>
        <w:t>6</w:t>
      </w:r>
      <w:r w:rsidR="00350B00" w:rsidRPr="004A1A26">
        <w:rPr>
          <w:noProof/>
        </w:rPr>
        <w:fldChar w:fldCharType="end"/>
      </w:r>
      <w:r w:rsidRPr="004A1A26">
        <w:t xml:space="preserve">: Summary of </w:t>
      </w:r>
      <w:r w:rsidR="00107AC2" w:rsidRPr="004A1A26">
        <w:t>a</w:t>
      </w:r>
      <w:r w:rsidRPr="004A1A26">
        <w:t xml:space="preserve">ssessment </w:t>
      </w:r>
      <w:r w:rsidR="00107AC2" w:rsidRPr="004A1A26">
        <w:t>c</w:t>
      </w:r>
      <w:r w:rsidRPr="004A1A26">
        <w:t>riteria</w:t>
      </w:r>
      <w:r w:rsidR="00107AC2" w:rsidRPr="004A1A26">
        <w:t>:</w:t>
      </w:r>
      <w:r w:rsidR="00113D17">
        <w:t xml:space="preserve"> </w:t>
      </w:r>
      <w:r w:rsidRPr="004A1A26">
        <w:t>ASEAN Agreement on Transboundary Haze</w:t>
      </w:r>
      <w:r w:rsidR="00107AC2" w:rsidRPr="004A1A26">
        <w:t xml:space="preserve"> Pollution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5683"/>
        <w:gridCol w:w="1814"/>
      </w:tblGrid>
      <w:tr w:rsidR="00EC41E2" w:rsidRPr="004A1A26" w14:paraId="50F89EFF" w14:textId="77777777" w:rsidTr="000056BB">
        <w:tc>
          <w:tcPr>
            <w:tcW w:w="1526" w:type="dxa"/>
            <w:tcBorders>
              <w:top w:val="single" w:sz="2" w:space="0" w:color="auto"/>
              <w:left w:val="single" w:sz="2" w:space="0" w:color="auto"/>
              <w:bottom w:val="single" w:sz="12" w:space="0" w:color="9CC2E5"/>
              <w:right w:val="nil"/>
            </w:tcBorders>
            <w:shd w:val="clear" w:color="auto" w:fill="FFFFFF"/>
          </w:tcPr>
          <w:p w14:paraId="054679D1" w14:textId="77777777" w:rsidR="00F83BF4" w:rsidRPr="00113D17" w:rsidRDefault="00F83BF4" w:rsidP="006561E7">
            <w:pPr>
              <w:pStyle w:val="TableText"/>
              <w:keepNext/>
              <w:keepLines/>
              <w:spacing w:before="0" w:after="0" w:line="240" w:lineRule="auto"/>
              <w:rPr>
                <w:sz w:val="20"/>
              </w:rPr>
            </w:pPr>
            <w:r w:rsidRPr="00113D17">
              <w:rPr>
                <w:sz w:val="20"/>
              </w:rPr>
              <w:lastRenderedPageBreak/>
              <w:t>Criterion</w:t>
            </w:r>
          </w:p>
        </w:tc>
        <w:tc>
          <w:tcPr>
            <w:tcW w:w="5812" w:type="dxa"/>
            <w:tcBorders>
              <w:top w:val="single" w:sz="2" w:space="0" w:color="auto"/>
              <w:left w:val="nil"/>
              <w:bottom w:val="single" w:sz="12" w:space="0" w:color="9CC2E5"/>
              <w:right w:val="nil"/>
            </w:tcBorders>
            <w:shd w:val="clear" w:color="auto" w:fill="FFFFFF"/>
          </w:tcPr>
          <w:p w14:paraId="7BBC069D" w14:textId="77777777" w:rsidR="00F83BF4" w:rsidRPr="00113D17" w:rsidRDefault="00F83BF4" w:rsidP="006561E7">
            <w:pPr>
              <w:pStyle w:val="TableText"/>
              <w:keepNext/>
              <w:keepLines/>
              <w:spacing w:before="0" w:after="0" w:line="240" w:lineRule="auto"/>
              <w:rPr>
                <w:sz w:val="20"/>
              </w:rPr>
            </w:pPr>
            <w:r w:rsidRPr="00113D17">
              <w:rPr>
                <w:sz w:val="20"/>
              </w:rPr>
              <w:t>Description</w:t>
            </w:r>
          </w:p>
        </w:tc>
        <w:tc>
          <w:tcPr>
            <w:tcW w:w="1832" w:type="dxa"/>
            <w:tcBorders>
              <w:top w:val="single" w:sz="2" w:space="0" w:color="auto"/>
              <w:left w:val="nil"/>
              <w:bottom w:val="single" w:sz="12" w:space="0" w:color="9CC2E5"/>
              <w:right w:val="single" w:sz="2" w:space="0" w:color="auto"/>
            </w:tcBorders>
            <w:shd w:val="clear" w:color="auto" w:fill="FFFFFF"/>
          </w:tcPr>
          <w:p w14:paraId="77569E02" w14:textId="77777777" w:rsidR="00F83BF4" w:rsidRPr="00113D17" w:rsidRDefault="00F83BF4" w:rsidP="006561E7">
            <w:pPr>
              <w:pStyle w:val="TableText"/>
              <w:keepNext/>
              <w:keepLines/>
              <w:spacing w:before="0" w:after="0" w:line="240" w:lineRule="auto"/>
              <w:rPr>
                <w:sz w:val="20"/>
              </w:rPr>
            </w:pPr>
            <w:r w:rsidRPr="00113D17">
              <w:rPr>
                <w:sz w:val="20"/>
              </w:rPr>
              <w:t>References</w:t>
            </w:r>
          </w:p>
        </w:tc>
      </w:tr>
      <w:tr w:rsidR="000A78A7" w:rsidRPr="004A1A26" w14:paraId="1048AD0E" w14:textId="77777777" w:rsidTr="000056BB">
        <w:trPr>
          <w:trHeight w:val="320"/>
        </w:trPr>
        <w:tc>
          <w:tcPr>
            <w:tcW w:w="1526" w:type="dxa"/>
            <w:tcBorders>
              <w:left w:val="single" w:sz="2" w:space="0" w:color="auto"/>
            </w:tcBorders>
            <w:shd w:val="clear" w:color="auto" w:fill="DEEAF6"/>
          </w:tcPr>
          <w:p w14:paraId="6CF8889B" w14:textId="77777777" w:rsidR="000A78A7" w:rsidRPr="00113D17" w:rsidRDefault="000A78A7" w:rsidP="006561E7">
            <w:pPr>
              <w:pStyle w:val="TableText"/>
              <w:keepNext/>
              <w:keepLines/>
              <w:spacing w:before="0" w:after="0" w:line="240" w:lineRule="auto"/>
              <w:rPr>
                <w:sz w:val="20"/>
              </w:rPr>
            </w:pPr>
            <w:r w:rsidRPr="00113D17">
              <w:rPr>
                <w:sz w:val="20"/>
              </w:rPr>
              <w:t xml:space="preserve">Success </w:t>
            </w:r>
            <w:r w:rsidR="00661F8D" w:rsidRPr="00113D17">
              <w:rPr>
                <w:sz w:val="20"/>
              </w:rPr>
              <w:t xml:space="preserve">or </w:t>
            </w:r>
            <w:r w:rsidR="00107AC2" w:rsidRPr="00113D17">
              <w:rPr>
                <w:sz w:val="20"/>
              </w:rPr>
              <w:t>f</w:t>
            </w:r>
            <w:r w:rsidRPr="00113D17">
              <w:rPr>
                <w:sz w:val="20"/>
              </w:rPr>
              <w:t>ailure</w:t>
            </w:r>
          </w:p>
        </w:tc>
        <w:tc>
          <w:tcPr>
            <w:tcW w:w="5812" w:type="dxa"/>
            <w:shd w:val="clear" w:color="auto" w:fill="DEEAF6"/>
          </w:tcPr>
          <w:p w14:paraId="159D98B3" w14:textId="77777777" w:rsidR="000A78A7" w:rsidRPr="00113D17" w:rsidRDefault="00661F8D" w:rsidP="006561E7">
            <w:pPr>
              <w:pStyle w:val="TableText"/>
              <w:keepNext/>
              <w:keepLines/>
              <w:spacing w:before="0" w:after="0" w:line="240" w:lineRule="auto"/>
              <w:rPr>
                <w:sz w:val="20"/>
              </w:rPr>
            </w:pPr>
            <w:r w:rsidRPr="00113D17">
              <w:rPr>
                <w:sz w:val="20"/>
              </w:rPr>
              <w:t>Mixed view on effectiveness and achievement</w:t>
            </w:r>
            <w:r w:rsidR="00107AC2" w:rsidRPr="00113D17">
              <w:rPr>
                <w:sz w:val="20"/>
              </w:rPr>
              <w:t xml:space="preserve"> of goals</w:t>
            </w:r>
          </w:p>
        </w:tc>
        <w:tc>
          <w:tcPr>
            <w:tcW w:w="1832" w:type="dxa"/>
            <w:tcBorders>
              <w:right w:val="single" w:sz="2" w:space="0" w:color="auto"/>
            </w:tcBorders>
            <w:shd w:val="clear" w:color="auto" w:fill="DEEAF6"/>
          </w:tcPr>
          <w:p w14:paraId="59F7BE34" w14:textId="77777777" w:rsidR="000A78A7" w:rsidRPr="00113D17" w:rsidRDefault="000A78A7" w:rsidP="006561E7">
            <w:pPr>
              <w:pStyle w:val="TableText"/>
              <w:keepNext/>
              <w:keepLines/>
              <w:spacing w:before="0" w:after="0" w:line="240" w:lineRule="auto"/>
              <w:rPr>
                <w:sz w:val="20"/>
              </w:rPr>
            </w:pPr>
          </w:p>
        </w:tc>
      </w:tr>
      <w:tr w:rsidR="000A78A7" w:rsidRPr="004A1A26" w14:paraId="32B302CE" w14:textId="77777777" w:rsidTr="000056BB">
        <w:trPr>
          <w:trHeight w:val="320"/>
        </w:trPr>
        <w:tc>
          <w:tcPr>
            <w:tcW w:w="1526" w:type="dxa"/>
            <w:tcBorders>
              <w:left w:val="single" w:sz="2" w:space="0" w:color="auto"/>
            </w:tcBorders>
            <w:shd w:val="clear" w:color="auto" w:fill="auto"/>
          </w:tcPr>
          <w:p w14:paraId="4F23B599" w14:textId="77777777" w:rsidR="000A78A7" w:rsidRPr="00113D17" w:rsidRDefault="000A78A7" w:rsidP="006561E7">
            <w:pPr>
              <w:pStyle w:val="TableText"/>
              <w:keepNext/>
              <w:keepLines/>
              <w:spacing w:before="0" w:after="0" w:line="240" w:lineRule="auto"/>
              <w:rPr>
                <w:sz w:val="20"/>
              </w:rPr>
            </w:pPr>
            <w:r w:rsidRPr="00113D17">
              <w:rPr>
                <w:sz w:val="20"/>
              </w:rPr>
              <w:t xml:space="preserve">Independence of </w:t>
            </w:r>
            <w:r w:rsidR="00107AC2" w:rsidRPr="00113D17">
              <w:rPr>
                <w:sz w:val="20"/>
              </w:rPr>
              <w:t>e</w:t>
            </w:r>
            <w:r w:rsidRPr="00113D17">
              <w:rPr>
                <w:sz w:val="20"/>
              </w:rPr>
              <w:t>valuation</w:t>
            </w:r>
          </w:p>
        </w:tc>
        <w:tc>
          <w:tcPr>
            <w:tcW w:w="5812" w:type="dxa"/>
            <w:shd w:val="clear" w:color="auto" w:fill="auto"/>
          </w:tcPr>
          <w:p w14:paraId="27FA7B4F" w14:textId="77777777" w:rsidR="000A78A7" w:rsidRPr="00113D17" w:rsidRDefault="00054D99" w:rsidP="006561E7">
            <w:pPr>
              <w:pStyle w:val="TableText"/>
              <w:keepNext/>
              <w:keepLines/>
              <w:spacing w:before="0" w:after="0" w:line="240" w:lineRule="auto"/>
              <w:rPr>
                <w:sz w:val="20"/>
              </w:rPr>
            </w:pPr>
            <w:r w:rsidRPr="00113D17">
              <w:rPr>
                <w:sz w:val="20"/>
              </w:rPr>
              <w:t>No consensus in evaluations</w:t>
            </w:r>
          </w:p>
        </w:tc>
        <w:tc>
          <w:tcPr>
            <w:tcW w:w="1832" w:type="dxa"/>
            <w:tcBorders>
              <w:right w:val="single" w:sz="2" w:space="0" w:color="auto"/>
            </w:tcBorders>
            <w:shd w:val="clear" w:color="auto" w:fill="auto"/>
          </w:tcPr>
          <w:p w14:paraId="4F595F8A" w14:textId="77777777" w:rsidR="000A78A7" w:rsidRPr="00113D17" w:rsidRDefault="000A78A7" w:rsidP="006561E7">
            <w:pPr>
              <w:pStyle w:val="TableText"/>
              <w:keepNext/>
              <w:keepLines/>
              <w:spacing w:before="0" w:after="0" w:line="240" w:lineRule="auto"/>
              <w:rPr>
                <w:sz w:val="20"/>
              </w:rPr>
            </w:pPr>
          </w:p>
        </w:tc>
      </w:tr>
      <w:tr w:rsidR="000A78A7" w:rsidRPr="004A1A26" w14:paraId="6F0EBFD6" w14:textId="77777777" w:rsidTr="000056BB">
        <w:trPr>
          <w:trHeight w:val="320"/>
        </w:trPr>
        <w:tc>
          <w:tcPr>
            <w:tcW w:w="1526" w:type="dxa"/>
            <w:tcBorders>
              <w:left w:val="single" w:sz="2" w:space="0" w:color="auto"/>
            </w:tcBorders>
            <w:shd w:val="clear" w:color="auto" w:fill="DEEAF6"/>
          </w:tcPr>
          <w:p w14:paraId="187F723A" w14:textId="77777777" w:rsidR="000A78A7" w:rsidRPr="00113D17" w:rsidRDefault="000A78A7" w:rsidP="006561E7">
            <w:pPr>
              <w:pStyle w:val="TableText"/>
              <w:keepNext/>
              <w:keepLines/>
              <w:spacing w:before="0" w:after="0" w:line="240" w:lineRule="auto"/>
              <w:rPr>
                <w:sz w:val="20"/>
              </w:rPr>
            </w:pPr>
            <w:r w:rsidRPr="00113D17">
              <w:rPr>
                <w:sz w:val="20"/>
              </w:rPr>
              <w:t>Key actors</w:t>
            </w:r>
          </w:p>
        </w:tc>
        <w:tc>
          <w:tcPr>
            <w:tcW w:w="5812" w:type="dxa"/>
            <w:shd w:val="clear" w:color="auto" w:fill="DEEAF6"/>
          </w:tcPr>
          <w:p w14:paraId="6C4DE94B" w14:textId="77777777" w:rsidR="000A78A7" w:rsidRPr="00113D17" w:rsidRDefault="000A78A7" w:rsidP="006561E7">
            <w:pPr>
              <w:pStyle w:val="TableText"/>
              <w:keepNext/>
              <w:keepLines/>
              <w:spacing w:before="0" w:after="0" w:line="240" w:lineRule="auto"/>
              <w:rPr>
                <w:sz w:val="20"/>
              </w:rPr>
            </w:pPr>
            <w:r w:rsidRPr="00113D17">
              <w:rPr>
                <w:sz w:val="20"/>
              </w:rPr>
              <w:t xml:space="preserve">Governments, </w:t>
            </w:r>
            <w:r w:rsidR="00107AC2" w:rsidRPr="00113D17">
              <w:rPr>
                <w:sz w:val="20"/>
              </w:rPr>
              <w:t xml:space="preserve">the </w:t>
            </w:r>
            <w:r w:rsidRPr="00113D17">
              <w:rPr>
                <w:sz w:val="20"/>
              </w:rPr>
              <w:t xml:space="preserve">ASEAN </w:t>
            </w:r>
            <w:r w:rsidR="00054D99" w:rsidRPr="00113D17">
              <w:rPr>
                <w:sz w:val="20"/>
              </w:rPr>
              <w:t xml:space="preserve">Secretariat </w:t>
            </w:r>
            <w:r w:rsidRPr="00113D17">
              <w:rPr>
                <w:sz w:val="20"/>
              </w:rPr>
              <w:t>and its agencies, NGOs, foreign governments, industries and international/regional organizations</w:t>
            </w:r>
          </w:p>
        </w:tc>
        <w:tc>
          <w:tcPr>
            <w:tcW w:w="1832" w:type="dxa"/>
            <w:tcBorders>
              <w:right w:val="single" w:sz="2" w:space="0" w:color="auto"/>
            </w:tcBorders>
            <w:shd w:val="clear" w:color="auto" w:fill="DEEAF6"/>
          </w:tcPr>
          <w:p w14:paraId="03FBD45E" w14:textId="77777777" w:rsidR="000A78A7" w:rsidRPr="00113D17" w:rsidRDefault="000A78A7" w:rsidP="006561E7">
            <w:pPr>
              <w:pStyle w:val="TableText"/>
              <w:keepNext/>
              <w:keepLines/>
              <w:spacing w:before="0" w:after="0" w:line="240" w:lineRule="auto"/>
              <w:rPr>
                <w:sz w:val="20"/>
              </w:rPr>
            </w:pPr>
          </w:p>
        </w:tc>
      </w:tr>
      <w:tr w:rsidR="000A78A7" w:rsidRPr="004A1A26" w14:paraId="5D179635" w14:textId="77777777" w:rsidTr="000056BB">
        <w:trPr>
          <w:trHeight w:val="320"/>
        </w:trPr>
        <w:tc>
          <w:tcPr>
            <w:tcW w:w="1526" w:type="dxa"/>
            <w:tcBorders>
              <w:left w:val="single" w:sz="2" w:space="0" w:color="auto"/>
            </w:tcBorders>
            <w:shd w:val="clear" w:color="auto" w:fill="auto"/>
          </w:tcPr>
          <w:p w14:paraId="23E25C98" w14:textId="77777777" w:rsidR="000A78A7" w:rsidRPr="00113D17" w:rsidRDefault="000A78A7" w:rsidP="006561E7">
            <w:pPr>
              <w:pStyle w:val="TableText"/>
              <w:keepNext/>
              <w:keepLines/>
              <w:spacing w:before="0" w:after="0" w:line="240" w:lineRule="auto"/>
              <w:rPr>
                <w:sz w:val="20"/>
              </w:rPr>
            </w:pPr>
            <w:r w:rsidRPr="00113D17">
              <w:rPr>
                <w:sz w:val="20"/>
              </w:rPr>
              <w:t>Baseline</w:t>
            </w:r>
          </w:p>
        </w:tc>
        <w:tc>
          <w:tcPr>
            <w:tcW w:w="5812" w:type="dxa"/>
            <w:shd w:val="clear" w:color="auto" w:fill="auto"/>
          </w:tcPr>
          <w:p w14:paraId="3E0703C4" w14:textId="77777777" w:rsidR="000A78A7" w:rsidRPr="00113D17" w:rsidRDefault="000A78A7" w:rsidP="006561E7">
            <w:pPr>
              <w:pStyle w:val="TableText"/>
              <w:keepNext/>
              <w:keepLines/>
              <w:spacing w:before="0" w:after="0" w:line="240" w:lineRule="auto"/>
              <w:rPr>
                <w:rFonts w:eastAsia="MS Mincho"/>
                <w:sz w:val="20"/>
                <w:lang w:eastAsia="ja-JP"/>
              </w:rPr>
            </w:pPr>
            <w:r w:rsidRPr="00113D17">
              <w:rPr>
                <w:sz w:val="20"/>
              </w:rPr>
              <w:t>The Agreement does not provide a specific baseline.</w:t>
            </w:r>
          </w:p>
        </w:tc>
        <w:tc>
          <w:tcPr>
            <w:tcW w:w="1832" w:type="dxa"/>
            <w:tcBorders>
              <w:right w:val="single" w:sz="2" w:space="0" w:color="auto"/>
            </w:tcBorders>
            <w:shd w:val="clear" w:color="auto" w:fill="auto"/>
          </w:tcPr>
          <w:p w14:paraId="2E285A29" w14:textId="77777777" w:rsidR="000A78A7" w:rsidRPr="00113D17" w:rsidRDefault="000A78A7" w:rsidP="006561E7">
            <w:pPr>
              <w:pStyle w:val="TableText"/>
              <w:keepNext/>
              <w:keepLines/>
              <w:spacing w:before="0" w:after="0" w:line="240" w:lineRule="auto"/>
              <w:rPr>
                <w:sz w:val="20"/>
              </w:rPr>
            </w:pPr>
          </w:p>
        </w:tc>
      </w:tr>
      <w:tr w:rsidR="000A78A7" w:rsidRPr="004A1A26" w14:paraId="13E04B82" w14:textId="77777777" w:rsidTr="000056BB">
        <w:trPr>
          <w:trHeight w:val="923"/>
        </w:trPr>
        <w:tc>
          <w:tcPr>
            <w:tcW w:w="1526" w:type="dxa"/>
            <w:tcBorders>
              <w:left w:val="single" w:sz="2" w:space="0" w:color="auto"/>
            </w:tcBorders>
            <w:shd w:val="clear" w:color="auto" w:fill="DEEAF6" w:themeFill="accent5" w:themeFillTint="33"/>
          </w:tcPr>
          <w:p w14:paraId="6CEA5BBF" w14:textId="77777777" w:rsidR="000A78A7" w:rsidRPr="00113D17" w:rsidRDefault="000A78A7" w:rsidP="006561E7">
            <w:pPr>
              <w:pStyle w:val="TableText"/>
              <w:keepNext/>
              <w:keepLines/>
              <w:spacing w:before="0" w:after="0" w:line="240" w:lineRule="auto"/>
              <w:rPr>
                <w:sz w:val="20"/>
              </w:rPr>
            </w:pPr>
            <w:r w:rsidRPr="00113D17">
              <w:rPr>
                <w:sz w:val="20"/>
              </w:rPr>
              <w:t>Timeframe</w:t>
            </w:r>
          </w:p>
        </w:tc>
        <w:tc>
          <w:tcPr>
            <w:tcW w:w="5812" w:type="dxa"/>
            <w:shd w:val="clear" w:color="auto" w:fill="DEEAF6" w:themeFill="accent5" w:themeFillTint="33"/>
          </w:tcPr>
          <w:p w14:paraId="75CEAF2F" w14:textId="77777777" w:rsidR="000A78A7" w:rsidRPr="00113D17" w:rsidRDefault="000A78A7" w:rsidP="006561E7">
            <w:pPr>
              <w:pStyle w:val="TableText"/>
              <w:keepNext/>
              <w:keepLines/>
              <w:spacing w:before="0" w:after="0" w:line="240" w:lineRule="auto"/>
              <w:rPr>
                <w:sz w:val="20"/>
              </w:rPr>
            </w:pPr>
            <w:r w:rsidRPr="00113D17">
              <w:rPr>
                <w:sz w:val="20"/>
              </w:rPr>
              <w:t xml:space="preserve">The Agreement is expected to remain in force perpetually with </w:t>
            </w:r>
            <w:r w:rsidR="00107AC2" w:rsidRPr="00113D17">
              <w:rPr>
                <w:sz w:val="20"/>
              </w:rPr>
              <w:t xml:space="preserve">the </w:t>
            </w:r>
            <w:r w:rsidRPr="00113D17">
              <w:rPr>
                <w:sz w:val="20"/>
              </w:rPr>
              <w:t>active participation of all ASEAN member states</w:t>
            </w:r>
            <w:r w:rsidR="00107AC2" w:rsidRPr="00113D17">
              <w:rPr>
                <w:sz w:val="20"/>
              </w:rPr>
              <w:t>,</w:t>
            </w:r>
            <w:r w:rsidRPr="00113D17">
              <w:rPr>
                <w:sz w:val="20"/>
              </w:rPr>
              <w:t xml:space="preserve"> with the goal of achieving a haze-free ASEAN by </w:t>
            </w:r>
            <w:r w:rsidR="00F340B7" w:rsidRPr="00113D17">
              <w:rPr>
                <w:sz w:val="20"/>
              </w:rPr>
              <w:t>2020</w:t>
            </w:r>
            <w:r w:rsidRPr="00113D17">
              <w:rPr>
                <w:sz w:val="20"/>
              </w:rPr>
              <w:t>.</w:t>
            </w:r>
          </w:p>
        </w:tc>
        <w:tc>
          <w:tcPr>
            <w:tcW w:w="1832" w:type="dxa"/>
            <w:tcBorders>
              <w:right w:val="single" w:sz="2" w:space="0" w:color="auto"/>
            </w:tcBorders>
            <w:shd w:val="clear" w:color="auto" w:fill="DEEAF6" w:themeFill="accent5" w:themeFillTint="33"/>
          </w:tcPr>
          <w:p w14:paraId="1523A792" w14:textId="7EEE813E" w:rsidR="000A78A7" w:rsidRPr="00113D17" w:rsidRDefault="000A78A7" w:rsidP="006561E7">
            <w:pPr>
              <w:pStyle w:val="TableText"/>
              <w:keepNext/>
              <w:keepLines/>
              <w:spacing w:before="0" w:after="0" w:line="240" w:lineRule="auto"/>
              <w:rPr>
                <w:sz w:val="20"/>
              </w:rPr>
            </w:pPr>
            <w:r w:rsidRPr="00113D17">
              <w:rPr>
                <w:sz w:val="20"/>
              </w:rPr>
              <w:t>Haze</w:t>
            </w:r>
            <w:r w:rsidR="00020A2F">
              <w:rPr>
                <w:sz w:val="20"/>
              </w:rPr>
              <w:t xml:space="preserve"> </w:t>
            </w:r>
            <w:r w:rsidRPr="00113D17">
              <w:rPr>
                <w:sz w:val="20"/>
              </w:rPr>
              <w:t>Action</w:t>
            </w:r>
            <w:r w:rsidR="00020A2F">
              <w:rPr>
                <w:sz w:val="20"/>
              </w:rPr>
              <w:t xml:space="preserve"> </w:t>
            </w:r>
            <w:r w:rsidRPr="00113D17">
              <w:rPr>
                <w:sz w:val="20"/>
              </w:rPr>
              <w:t>Online</w:t>
            </w:r>
            <w:r w:rsidR="00020A2F">
              <w:rPr>
                <w:sz w:val="20"/>
              </w:rPr>
              <w:t xml:space="preserve"> </w:t>
            </w:r>
            <w:r w:rsidR="00306B61" w:rsidRPr="00113D17">
              <w:rPr>
                <w:sz w:val="20"/>
              </w:rPr>
              <w:t>2018</w:t>
            </w:r>
          </w:p>
        </w:tc>
      </w:tr>
      <w:tr w:rsidR="000A78A7" w:rsidRPr="004A1A26" w14:paraId="4AFCE081" w14:textId="77777777" w:rsidTr="000056BB">
        <w:trPr>
          <w:trHeight w:val="1610"/>
        </w:trPr>
        <w:tc>
          <w:tcPr>
            <w:tcW w:w="1526" w:type="dxa"/>
            <w:tcBorders>
              <w:left w:val="single" w:sz="2" w:space="0" w:color="auto"/>
            </w:tcBorders>
            <w:shd w:val="clear" w:color="auto" w:fill="auto"/>
          </w:tcPr>
          <w:p w14:paraId="1EBD67EF" w14:textId="77777777" w:rsidR="000A78A7" w:rsidRPr="00113D17" w:rsidRDefault="000A78A7" w:rsidP="006561E7">
            <w:pPr>
              <w:pStyle w:val="TableText"/>
              <w:keepNext/>
              <w:keepLines/>
              <w:spacing w:before="0" w:after="0" w:line="240" w:lineRule="auto"/>
              <w:rPr>
                <w:bCs/>
                <w:sz w:val="20"/>
              </w:rPr>
            </w:pPr>
            <w:r w:rsidRPr="00113D17">
              <w:rPr>
                <w:sz w:val="20"/>
              </w:rPr>
              <w:t xml:space="preserve">Constraining factors </w:t>
            </w:r>
          </w:p>
        </w:tc>
        <w:tc>
          <w:tcPr>
            <w:tcW w:w="5812" w:type="dxa"/>
            <w:shd w:val="clear" w:color="auto" w:fill="auto"/>
          </w:tcPr>
          <w:p w14:paraId="63490E05" w14:textId="26F40300" w:rsidR="00457C6A" w:rsidRPr="00113D17" w:rsidRDefault="00F340B7" w:rsidP="006561E7">
            <w:pPr>
              <w:pStyle w:val="TableText"/>
              <w:keepNext/>
              <w:keepLines/>
              <w:spacing w:before="0" w:after="0" w:line="240" w:lineRule="auto"/>
              <w:rPr>
                <w:sz w:val="20"/>
              </w:rPr>
            </w:pPr>
            <w:r w:rsidRPr="00113D17">
              <w:rPr>
                <w:sz w:val="20"/>
              </w:rPr>
              <w:t>Logging</w:t>
            </w:r>
            <w:r w:rsidR="00457C6A" w:rsidRPr="00113D17">
              <w:rPr>
                <w:sz w:val="20"/>
              </w:rPr>
              <w:t xml:space="preserve"> and burning land create employment for less fortunate </w:t>
            </w:r>
            <w:r w:rsidR="00054D99" w:rsidRPr="00113D17">
              <w:rPr>
                <w:sz w:val="20"/>
              </w:rPr>
              <w:t xml:space="preserve">people </w:t>
            </w:r>
            <w:r w:rsidR="00457C6A" w:rsidRPr="00113D17">
              <w:rPr>
                <w:sz w:val="20"/>
              </w:rPr>
              <w:t>due to limited employment in other sectors. Oil palm and pulpwood industries have thus largely flourished under weak law enforcement by local authorities. Once cleared to make room for plantation</w:t>
            </w:r>
            <w:r w:rsidR="00054D99" w:rsidRPr="00113D17">
              <w:rPr>
                <w:sz w:val="20"/>
              </w:rPr>
              <w:t>s</w:t>
            </w:r>
            <w:r w:rsidR="00457C6A" w:rsidRPr="00113D17">
              <w:rPr>
                <w:sz w:val="20"/>
              </w:rPr>
              <w:t>, peat forests tend to smoulder underground for weeks even after surface fires are fully extinguished.</w:t>
            </w:r>
          </w:p>
        </w:tc>
        <w:tc>
          <w:tcPr>
            <w:tcW w:w="1832" w:type="dxa"/>
            <w:tcBorders>
              <w:right w:val="single" w:sz="2" w:space="0" w:color="auto"/>
            </w:tcBorders>
            <w:shd w:val="clear" w:color="auto" w:fill="auto"/>
          </w:tcPr>
          <w:p w14:paraId="04ABB9A0" w14:textId="77777777" w:rsidR="00457C6A" w:rsidRPr="00113D17" w:rsidRDefault="00457C6A" w:rsidP="006561E7">
            <w:pPr>
              <w:pStyle w:val="TableText"/>
              <w:keepNext/>
              <w:keepLines/>
              <w:spacing w:before="0" w:after="0" w:line="240" w:lineRule="auto"/>
              <w:rPr>
                <w:sz w:val="20"/>
              </w:rPr>
            </w:pPr>
          </w:p>
        </w:tc>
      </w:tr>
      <w:tr w:rsidR="000A78A7" w:rsidRPr="004A1A26" w14:paraId="726224E7" w14:textId="77777777" w:rsidTr="000056BB">
        <w:tc>
          <w:tcPr>
            <w:tcW w:w="1526" w:type="dxa"/>
            <w:tcBorders>
              <w:left w:val="single" w:sz="2" w:space="0" w:color="auto"/>
            </w:tcBorders>
            <w:shd w:val="clear" w:color="auto" w:fill="DEEAF6" w:themeFill="accent5" w:themeFillTint="33"/>
          </w:tcPr>
          <w:p w14:paraId="623D833D" w14:textId="77777777" w:rsidR="000A78A7" w:rsidRPr="00113D17" w:rsidRDefault="000A78A7" w:rsidP="006561E7">
            <w:pPr>
              <w:pStyle w:val="TableText"/>
              <w:keepNext/>
              <w:keepLines/>
              <w:spacing w:before="0" w:after="0" w:line="240" w:lineRule="auto"/>
              <w:rPr>
                <w:sz w:val="20"/>
              </w:rPr>
            </w:pPr>
            <w:r w:rsidRPr="00113D17">
              <w:rPr>
                <w:sz w:val="20"/>
              </w:rPr>
              <w:t>Enabling factors</w:t>
            </w:r>
          </w:p>
        </w:tc>
        <w:tc>
          <w:tcPr>
            <w:tcW w:w="5812" w:type="dxa"/>
            <w:shd w:val="clear" w:color="auto" w:fill="DEEAF6" w:themeFill="accent5" w:themeFillTint="33"/>
          </w:tcPr>
          <w:p w14:paraId="6CE094D9" w14:textId="46B1F41C" w:rsidR="00F340B7" w:rsidRPr="00113D17" w:rsidRDefault="00C9410D" w:rsidP="006561E7">
            <w:pPr>
              <w:pStyle w:val="TableText"/>
              <w:keepNext/>
              <w:keepLines/>
              <w:spacing w:before="0" w:after="0" w:line="240" w:lineRule="auto"/>
              <w:rPr>
                <w:sz w:val="20"/>
              </w:rPr>
            </w:pPr>
            <w:r w:rsidRPr="00113D17">
              <w:rPr>
                <w:sz w:val="20"/>
              </w:rPr>
              <w:t xml:space="preserve">Singapore extended communication with local farmers on their farming in Indonesia from </w:t>
            </w:r>
            <w:r w:rsidR="00F340B7" w:rsidRPr="00113D17">
              <w:rPr>
                <w:sz w:val="20"/>
              </w:rPr>
              <w:t>2013</w:t>
            </w:r>
            <w:r w:rsidRPr="00113D17">
              <w:rPr>
                <w:sz w:val="20"/>
              </w:rPr>
              <w:t>.</w:t>
            </w:r>
            <w:r w:rsidR="006561E7">
              <w:rPr>
                <w:sz w:val="20"/>
              </w:rPr>
              <w:t xml:space="preserve"> </w:t>
            </w:r>
            <w:r w:rsidRPr="00113D17">
              <w:rPr>
                <w:sz w:val="20"/>
              </w:rPr>
              <w:t xml:space="preserve">Malaysia cooperated with an NGO, </w:t>
            </w:r>
            <w:r w:rsidR="00107AC2" w:rsidRPr="00113D17">
              <w:rPr>
                <w:sz w:val="20"/>
              </w:rPr>
              <w:t xml:space="preserve">the </w:t>
            </w:r>
            <w:r w:rsidRPr="00113D17">
              <w:rPr>
                <w:sz w:val="20"/>
              </w:rPr>
              <w:t>Global Environmental Centre</w:t>
            </w:r>
            <w:r w:rsidR="00107AC2" w:rsidRPr="00113D17">
              <w:rPr>
                <w:sz w:val="20"/>
              </w:rPr>
              <w:t>,</w:t>
            </w:r>
            <w:r w:rsidR="006561E7">
              <w:rPr>
                <w:sz w:val="20"/>
              </w:rPr>
              <w:t xml:space="preserve"> </w:t>
            </w:r>
            <w:r w:rsidR="00107AC2" w:rsidRPr="00113D17">
              <w:rPr>
                <w:sz w:val="20"/>
              </w:rPr>
              <w:t xml:space="preserve">to </w:t>
            </w:r>
            <w:r w:rsidRPr="00113D17">
              <w:rPr>
                <w:sz w:val="20"/>
              </w:rPr>
              <w:t>reduc</w:t>
            </w:r>
            <w:r w:rsidR="00107AC2" w:rsidRPr="00113D17">
              <w:rPr>
                <w:sz w:val="20"/>
              </w:rPr>
              <w:t>e</w:t>
            </w:r>
            <w:r w:rsidR="006561E7">
              <w:rPr>
                <w:sz w:val="20"/>
              </w:rPr>
              <w:t xml:space="preserve"> </w:t>
            </w:r>
            <w:r w:rsidR="00107AC2" w:rsidRPr="00113D17">
              <w:rPr>
                <w:sz w:val="20"/>
              </w:rPr>
              <w:t>the risks associated with</w:t>
            </w:r>
            <w:r w:rsidRPr="00113D17">
              <w:rPr>
                <w:sz w:val="20"/>
              </w:rPr>
              <w:t xml:space="preserve"> peatland fire</w:t>
            </w:r>
            <w:r w:rsidR="00107AC2" w:rsidRPr="00113D17">
              <w:rPr>
                <w:sz w:val="20"/>
              </w:rPr>
              <w:t>s</w:t>
            </w:r>
            <w:r w:rsidRPr="00113D17">
              <w:rPr>
                <w:sz w:val="20"/>
              </w:rPr>
              <w:t xml:space="preserve">. </w:t>
            </w:r>
            <w:r w:rsidR="00107AC2" w:rsidRPr="00113D17">
              <w:rPr>
                <w:sz w:val="20"/>
              </w:rPr>
              <w:t xml:space="preserve">The </w:t>
            </w:r>
            <w:r w:rsidRPr="00113D17">
              <w:rPr>
                <w:sz w:val="20"/>
              </w:rPr>
              <w:t xml:space="preserve">2005 cloud-seeding project in Riau and </w:t>
            </w:r>
            <w:r w:rsidR="00F340B7" w:rsidRPr="00113D17">
              <w:rPr>
                <w:sz w:val="20"/>
              </w:rPr>
              <w:t>West</w:t>
            </w:r>
            <w:r w:rsidRPr="00113D17">
              <w:rPr>
                <w:sz w:val="20"/>
              </w:rPr>
              <w:t xml:space="preserve"> Kalimantan conducted by Indonesia, Malaysia and Singapore indicated cooperation.</w:t>
            </w:r>
            <w:r w:rsidR="006561E7">
              <w:rPr>
                <w:sz w:val="20"/>
              </w:rPr>
              <w:t xml:space="preserve"> </w:t>
            </w:r>
            <w:r w:rsidR="00AF6FEF" w:rsidRPr="00113D17">
              <w:rPr>
                <w:rFonts w:eastAsia="MS Mincho"/>
                <w:sz w:val="20"/>
                <w:lang w:eastAsia="ja-JP"/>
              </w:rPr>
              <w:t>An e</w:t>
            </w:r>
            <w:r w:rsidRPr="00113D17">
              <w:rPr>
                <w:sz w:val="20"/>
              </w:rPr>
              <w:t xml:space="preserve">nvironmental partnership between Singapore and Indonesia from </w:t>
            </w:r>
            <w:r w:rsidR="00F340B7" w:rsidRPr="00113D17">
              <w:rPr>
                <w:sz w:val="20"/>
              </w:rPr>
              <w:t>2002</w:t>
            </w:r>
            <w:r w:rsidRPr="00113D17">
              <w:rPr>
                <w:sz w:val="20"/>
              </w:rPr>
              <w:t xml:space="preserve"> enables fire management and extinction in Riau.</w:t>
            </w:r>
          </w:p>
          <w:p w14:paraId="7EBB32ED" w14:textId="77777777" w:rsidR="00F340B7" w:rsidRPr="00113D17" w:rsidRDefault="000A78A7" w:rsidP="006561E7">
            <w:pPr>
              <w:pStyle w:val="TableText"/>
              <w:keepNext/>
              <w:keepLines/>
              <w:spacing w:before="0" w:after="0" w:line="240" w:lineRule="auto"/>
              <w:rPr>
                <w:sz w:val="20"/>
              </w:rPr>
            </w:pPr>
            <w:r w:rsidRPr="00113D17">
              <w:rPr>
                <w:sz w:val="20"/>
              </w:rPr>
              <w:t xml:space="preserve">The institutional arrangements </w:t>
            </w:r>
            <w:r w:rsidR="00C9410D" w:rsidRPr="00113D17">
              <w:rPr>
                <w:sz w:val="20"/>
              </w:rPr>
              <w:t xml:space="preserve">and </w:t>
            </w:r>
            <w:r w:rsidR="00F340B7" w:rsidRPr="00113D17">
              <w:rPr>
                <w:sz w:val="20"/>
              </w:rPr>
              <w:t>collaborat</w:t>
            </w:r>
            <w:r w:rsidR="00C9410D" w:rsidRPr="00113D17">
              <w:rPr>
                <w:sz w:val="20"/>
              </w:rPr>
              <w:t xml:space="preserve">ion </w:t>
            </w:r>
            <w:r w:rsidRPr="00113D17">
              <w:rPr>
                <w:sz w:val="20"/>
              </w:rPr>
              <w:t>have been key enabling factors, as was the willingness of the Parties to commence action even prior to Indonesia</w:t>
            </w:r>
            <w:r w:rsidR="00F340B7" w:rsidRPr="00113D17">
              <w:rPr>
                <w:sz w:val="20"/>
              </w:rPr>
              <w:t>’</w:t>
            </w:r>
            <w:r w:rsidRPr="00113D17">
              <w:rPr>
                <w:sz w:val="20"/>
              </w:rPr>
              <w:t>s ratification.</w:t>
            </w:r>
          </w:p>
          <w:p w14:paraId="6E9DB617" w14:textId="77777777" w:rsidR="00457C6A" w:rsidRPr="00113D17" w:rsidRDefault="00457C6A" w:rsidP="006561E7">
            <w:pPr>
              <w:pStyle w:val="TableText"/>
              <w:keepNext/>
              <w:keepLines/>
              <w:spacing w:before="0" w:after="0" w:line="240" w:lineRule="auto"/>
              <w:rPr>
                <w:sz w:val="20"/>
              </w:rPr>
            </w:pPr>
            <w:r w:rsidRPr="00113D17">
              <w:rPr>
                <w:sz w:val="20"/>
              </w:rPr>
              <w:t>Pr</w:t>
            </w:r>
            <w:r w:rsidR="00F340B7" w:rsidRPr="00113D17">
              <w:rPr>
                <w:sz w:val="20"/>
              </w:rPr>
              <w:t>ogra</w:t>
            </w:r>
            <w:r w:rsidRPr="00113D17">
              <w:rPr>
                <w:sz w:val="20"/>
              </w:rPr>
              <w:t>mmes to improve peatland management and control haze pollution have been welcomed by member states.</w:t>
            </w:r>
          </w:p>
        </w:tc>
        <w:tc>
          <w:tcPr>
            <w:tcW w:w="1832" w:type="dxa"/>
            <w:tcBorders>
              <w:right w:val="single" w:sz="2" w:space="0" w:color="auto"/>
            </w:tcBorders>
            <w:shd w:val="clear" w:color="auto" w:fill="DEEAF6" w:themeFill="accent5" w:themeFillTint="33"/>
          </w:tcPr>
          <w:p w14:paraId="335F8445" w14:textId="77777777" w:rsidR="000A78A7" w:rsidRPr="00113D17" w:rsidRDefault="00C9410D" w:rsidP="006561E7">
            <w:pPr>
              <w:pStyle w:val="TableText"/>
              <w:keepNext/>
              <w:keepLines/>
              <w:spacing w:before="0" w:after="0" w:line="240" w:lineRule="auto"/>
              <w:rPr>
                <w:sz w:val="20"/>
              </w:rPr>
            </w:pPr>
            <w:r w:rsidRPr="00113D17">
              <w:rPr>
                <w:sz w:val="20"/>
              </w:rPr>
              <w:t xml:space="preserve">Haze Action </w:t>
            </w:r>
            <w:r w:rsidR="00AF6FEF" w:rsidRPr="00113D17">
              <w:rPr>
                <w:sz w:val="20"/>
              </w:rPr>
              <w:t>O</w:t>
            </w:r>
            <w:r w:rsidRPr="00113D17">
              <w:rPr>
                <w:sz w:val="20"/>
              </w:rPr>
              <w:t xml:space="preserve">nline </w:t>
            </w:r>
            <w:r w:rsidR="00F340B7" w:rsidRPr="00113D17">
              <w:rPr>
                <w:sz w:val="20"/>
              </w:rPr>
              <w:t>2017</w:t>
            </w:r>
          </w:p>
        </w:tc>
      </w:tr>
      <w:tr w:rsidR="00457C6A" w:rsidRPr="004A1A26" w14:paraId="2CDA9BE3" w14:textId="77777777" w:rsidTr="000056BB">
        <w:trPr>
          <w:trHeight w:val="566"/>
        </w:trPr>
        <w:tc>
          <w:tcPr>
            <w:tcW w:w="1526" w:type="dxa"/>
            <w:tcBorders>
              <w:left w:val="single" w:sz="2" w:space="0" w:color="auto"/>
            </w:tcBorders>
            <w:shd w:val="clear" w:color="auto" w:fill="auto"/>
          </w:tcPr>
          <w:p w14:paraId="3A2EA9F4" w14:textId="77777777" w:rsidR="00457C6A" w:rsidRPr="00113D17" w:rsidRDefault="00457C6A" w:rsidP="006561E7">
            <w:pPr>
              <w:pStyle w:val="TableText"/>
              <w:keepNext/>
              <w:keepLines/>
              <w:spacing w:before="0" w:after="0" w:line="240" w:lineRule="auto"/>
              <w:rPr>
                <w:sz w:val="20"/>
              </w:rPr>
            </w:pPr>
            <w:r w:rsidRPr="00113D17">
              <w:rPr>
                <w:sz w:val="20"/>
              </w:rPr>
              <w:t>Cost</w:t>
            </w:r>
            <w:r w:rsidR="00107AC2" w:rsidRPr="00113D17">
              <w:rPr>
                <w:sz w:val="20"/>
              </w:rPr>
              <w:t>-</w:t>
            </w:r>
            <w:r w:rsidRPr="00113D17">
              <w:rPr>
                <w:sz w:val="20"/>
              </w:rPr>
              <w:t>effectiveness</w:t>
            </w:r>
          </w:p>
        </w:tc>
        <w:tc>
          <w:tcPr>
            <w:tcW w:w="5812" w:type="dxa"/>
            <w:shd w:val="clear" w:color="auto" w:fill="auto"/>
          </w:tcPr>
          <w:p w14:paraId="2B3ACF2E" w14:textId="029BB1CB" w:rsidR="00457C6A" w:rsidRPr="00113D17" w:rsidRDefault="00AF6FEF" w:rsidP="006561E7">
            <w:pPr>
              <w:pStyle w:val="TableText"/>
              <w:keepNext/>
              <w:keepLines/>
              <w:spacing w:before="0" w:after="0" w:line="240" w:lineRule="auto"/>
              <w:rPr>
                <w:sz w:val="20"/>
              </w:rPr>
            </w:pPr>
            <w:r w:rsidRPr="00113D17">
              <w:rPr>
                <w:sz w:val="20"/>
              </w:rPr>
              <w:t>The c</w:t>
            </w:r>
            <w:r w:rsidR="00457C6A" w:rsidRPr="00113D17">
              <w:rPr>
                <w:sz w:val="20"/>
              </w:rPr>
              <w:t xml:space="preserve">ost of </w:t>
            </w:r>
            <w:r w:rsidR="00F340B7" w:rsidRPr="00113D17">
              <w:rPr>
                <w:sz w:val="20"/>
              </w:rPr>
              <w:t>2010</w:t>
            </w:r>
            <w:r w:rsidRPr="00113D17">
              <w:rPr>
                <w:sz w:val="20"/>
              </w:rPr>
              <w:t>–201</w:t>
            </w:r>
            <w:r w:rsidR="00457C6A" w:rsidRPr="00113D17">
              <w:rPr>
                <w:sz w:val="20"/>
              </w:rPr>
              <w:t>4 ASEAN Peatland Forests Project was US</w:t>
            </w:r>
            <w:r w:rsidR="006561E7">
              <w:rPr>
                <w:sz w:val="20"/>
              </w:rPr>
              <w:t>$</w:t>
            </w:r>
            <w:r w:rsidR="00457C6A" w:rsidRPr="00113D17">
              <w:rPr>
                <w:sz w:val="20"/>
              </w:rPr>
              <w:t xml:space="preserve">5.9million. The project </w:t>
            </w:r>
            <w:r w:rsidRPr="00113D17">
              <w:rPr>
                <w:sz w:val="20"/>
              </w:rPr>
              <w:t xml:space="preserve">successfully </w:t>
            </w:r>
            <w:r w:rsidR="00F340B7" w:rsidRPr="00113D17">
              <w:rPr>
                <w:sz w:val="20"/>
              </w:rPr>
              <w:t>scal</w:t>
            </w:r>
            <w:r w:rsidRPr="00113D17">
              <w:rPr>
                <w:sz w:val="20"/>
              </w:rPr>
              <w:t>ed</w:t>
            </w:r>
            <w:r w:rsidR="00457C6A" w:rsidRPr="00113D17">
              <w:rPr>
                <w:sz w:val="20"/>
              </w:rPr>
              <w:t xml:space="preserve"> up the management and rehabilitation of critical sites in </w:t>
            </w:r>
            <w:r w:rsidR="00F340B7" w:rsidRPr="00113D17">
              <w:rPr>
                <w:sz w:val="20"/>
              </w:rPr>
              <w:t>Philippines</w:t>
            </w:r>
            <w:r w:rsidR="00457C6A" w:rsidRPr="00113D17">
              <w:rPr>
                <w:sz w:val="20"/>
              </w:rPr>
              <w:t xml:space="preserve"> and </w:t>
            </w:r>
            <w:r w:rsidR="00F340B7" w:rsidRPr="00113D17">
              <w:rPr>
                <w:sz w:val="20"/>
              </w:rPr>
              <w:t>Viet Nam</w:t>
            </w:r>
            <w:r w:rsidR="00457C6A" w:rsidRPr="00113D17">
              <w:rPr>
                <w:sz w:val="20"/>
              </w:rPr>
              <w:t>.</w:t>
            </w:r>
            <w:r w:rsidR="006561E7">
              <w:rPr>
                <w:sz w:val="20"/>
              </w:rPr>
              <w:t xml:space="preserve"> </w:t>
            </w:r>
            <w:r w:rsidR="00457C6A" w:rsidRPr="00113D17">
              <w:rPr>
                <w:sz w:val="20"/>
              </w:rPr>
              <w:t xml:space="preserve">An estimate of </w:t>
            </w:r>
            <w:r w:rsidRPr="00113D17">
              <w:rPr>
                <w:sz w:val="20"/>
              </w:rPr>
              <w:t xml:space="preserve">the </w:t>
            </w:r>
            <w:r w:rsidR="00457C6A" w:rsidRPr="00113D17">
              <w:rPr>
                <w:sz w:val="20"/>
              </w:rPr>
              <w:t xml:space="preserve">cost to control Indonesian haze </w:t>
            </w:r>
            <w:r w:rsidRPr="00113D17">
              <w:rPr>
                <w:sz w:val="20"/>
              </w:rPr>
              <w:t>i</w:t>
            </w:r>
            <w:r w:rsidR="00457C6A" w:rsidRPr="00113D17">
              <w:rPr>
                <w:sz w:val="20"/>
              </w:rPr>
              <w:t xml:space="preserve">s </w:t>
            </w:r>
            <w:r w:rsidRPr="00113D17">
              <w:rPr>
                <w:sz w:val="20"/>
              </w:rPr>
              <w:t xml:space="preserve">put </w:t>
            </w:r>
            <w:r w:rsidR="00457C6A" w:rsidRPr="00113D17">
              <w:rPr>
                <w:sz w:val="20"/>
              </w:rPr>
              <w:t>at US</w:t>
            </w:r>
            <w:r w:rsidR="006561E7">
              <w:rPr>
                <w:sz w:val="20"/>
              </w:rPr>
              <w:t>$</w:t>
            </w:r>
            <w:r w:rsidR="00457C6A" w:rsidRPr="00113D17">
              <w:rPr>
                <w:sz w:val="20"/>
              </w:rPr>
              <w:t xml:space="preserve">5.7 </w:t>
            </w:r>
            <w:r w:rsidR="00F340B7" w:rsidRPr="00113D17">
              <w:rPr>
                <w:sz w:val="20"/>
              </w:rPr>
              <w:t>billion</w:t>
            </w:r>
            <w:r w:rsidRPr="00113D17">
              <w:rPr>
                <w:sz w:val="20"/>
              </w:rPr>
              <w:t>,</w:t>
            </w:r>
            <w:r w:rsidR="00457C6A" w:rsidRPr="00113D17">
              <w:rPr>
                <w:sz w:val="20"/>
              </w:rPr>
              <w:t xml:space="preserve"> and another to address forest fires is US</w:t>
            </w:r>
            <w:r w:rsidR="006561E7">
              <w:rPr>
                <w:sz w:val="20"/>
              </w:rPr>
              <w:t>$</w:t>
            </w:r>
            <w:r w:rsidR="00457C6A" w:rsidRPr="00113D17">
              <w:rPr>
                <w:sz w:val="20"/>
              </w:rPr>
              <w:t xml:space="preserve">1.2 </w:t>
            </w:r>
            <w:r w:rsidR="00F340B7" w:rsidRPr="00113D17">
              <w:rPr>
                <w:sz w:val="20"/>
              </w:rPr>
              <w:t>billion</w:t>
            </w:r>
            <w:r w:rsidR="00457C6A" w:rsidRPr="00113D17">
              <w:rPr>
                <w:sz w:val="20"/>
              </w:rPr>
              <w:t>, but this does not include losses from peatland burning, which the World Bank puts at US</w:t>
            </w:r>
            <w:r w:rsidR="006561E7">
              <w:rPr>
                <w:sz w:val="20"/>
              </w:rPr>
              <w:t>$</w:t>
            </w:r>
            <w:r w:rsidR="00457C6A" w:rsidRPr="00113D17">
              <w:rPr>
                <w:sz w:val="20"/>
              </w:rPr>
              <w:t xml:space="preserve">16 </w:t>
            </w:r>
            <w:r w:rsidR="00F340B7" w:rsidRPr="00113D17">
              <w:rPr>
                <w:sz w:val="20"/>
              </w:rPr>
              <w:t>billion</w:t>
            </w:r>
            <w:r w:rsidR="00457C6A" w:rsidRPr="00113D17">
              <w:rPr>
                <w:sz w:val="20"/>
              </w:rPr>
              <w:t xml:space="preserve"> for the </w:t>
            </w:r>
            <w:r w:rsidR="00F340B7" w:rsidRPr="00113D17">
              <w:rPr>
                <w:sz w:val="20"/>
              </w:rPr>
              <w:t>2015</w:t>
            </w:r>
            <w:r w:rsidR="00457C6A" w:rsidRPr="00113D17">
              <w:rPr>
                <w:sz w:val="20"/>
              </w:rPr>
              <w:t xml:space="preserve"> fires alone.</w:t>
            </w:r>
          </w:p>
        </w:tc>
        <w:tc>
          <w:tcPr>
            <w:tcW w:w="1832" w:type="dxa"/>
            <w:tcBorders>
              <w:right w:val="single" w:sz="2" w:space="0" w:color="auto"/>
            </w:tcBorders>
            <w:shd w:val="clear" w:color="auto" w:fill="auto"/>
          </w:tcPr>
          <w:p w14:paraId="0A2AF3E0" w14:textId="29B98EF9" w:rsidR="00457C6A" w:rsidRPr="00113D17" w:rsidRDefault="00291F52" w:rsidP="006561E7">
            <w:pPr>
              <w:pStyle w:val="TableText"/>
              <w:keepNext/>
              <w:keepLines/>
              <w:spacing w:before="0" w:after="0" w:line="240" w:lineRule="auto"/>
              <w:rPr>
                <w:sz w:val="20"/>
              </w:rPr>
            </w:pPr>
            <w:r w:rsidRPr="00113D17">
              <w:rPr>
                <w:sz w:val="20"/>
              </w:rPr>
              <w:t xml:space="preserve">World Bank </w:t>
            </w:r>
            <w:r w:rsidR="00F340B7" w:rsidRPr="00113D17">
              <w:rPr>
                <w:sz w:val="20"/>
              </w:rPr>
              <w:t>2016</w:t>
            </w:r>
            <w:r w:rsidRPr="00113D17">
              <w:rPr>
                <w:sz w:val="20"/>
              </w:rPr>
              <w:t>;</w:t>
            </w:r>
            <w:r w:rsidR="004B6094" w:rsidRPr="00113D17">
              <w:rPr>
                <w:sz w:val="20"/>
              </w:rPr>
              <w:br/>
            </w:r>
            <w:r w:rsidRPr="00113D17">
              <w:rPr>
                <w:sz w:val="20"/>
              </w:rPr>
              <w:t xml:space="preserve">Nazeer and </w:t>
            </w:r>
            <w:proofErr w:type="spellStart"/>
            <w:r w:rsidRPr="00113D17">
              <w:rPr>
                <w:sz w:val="20"/>
              </w:rPr>
              <w:t>Furuoka</w:t>
            </w:r>
            <w:proofErr w:type="spellEnd"/>
            <w:r w:rsidR="00020A2F">
              <w:rPr>
                <w:sz w:val="20"/>
              </w:rPr>
              <w:t xml:space="preserve"> </w:t>
            </w:r>
            <w:r w:rsidR="00F340B7" w:rsidRPr="00113D17">
              <w:rPr>
                <w:sz w:val="20"/>
              </w:rPr>
              <w:t>2017</w:t>
            </w:r>
            <w:r w:rsidRPr="00113D17">
              <w:rPr>
                <w:sz w:val="20"/>
              </w:rPr>
              <w:t xml:space="preserve">; </w:t>
            </w:r>
            <w:r w:rsidR="004B6094" w:rsidRPr="00113D17">
              <w:rPr>
                <w:sz w:val="20"/>
              </w:rPr>
              <w:br/>
            </w:r>
            <w:r w:rsidRPr="00113D17">
              <w:rPr>
                <w:sz w:val="20"/>
              </w:rPr>
              <w:t xml:space="preserve">Hans </w:t>
            </w:r>
            <w:r w:rsidR="00F340B7" w:rsidRPr="00113D17">
              <w:rPr>
                <w:sz w:val="20"/>
              </w:rPr>
              <w:t>2018</w:t>
            </w:r>
          </w:p>
        </w:tc>
      </w:tr>
      <w:tr w:rsidR="00457C6A" w:rsidRPr="004A1A26" w14:paraId="0FB93AA5" w14:textId="77777777" w:rsidTr="000056BB">
        <w:trPr>
          <w:trHeight w:val="785"/>
        </w:trPr>
        <w:tc>
          <w:tcPr>
            <w:tcW w:w="1526" w:type="dxa"/>
            <w:tcBorders>
              <w:left w:val="single" w:sz="2" w:space="0" w:color="auto"/>
            </w:tcBorders>
            <w:shd w:val="clear" w:color="auto" w:fill="DEEAF6" w:themeFill="accent5" w:themeFillTint="33"/>
          </w:tcPr>
          <w:p w14:paraId="599B2031" w14:textId="77777777" w:rsidR="00457C6A" w:rsidRPr="00113D17" w:rsidRDefault="00457C6A" w:rsidP="006561E7">
            <w:pPr>
              <w:pStyle w:val="TableText"/>
              <w:keepNext/>
              <w:keepLines/>
              <w:spacing w:before="0" w:after="0" w:line="240" w:lineRule="auto"/>
              <w:rPr>
                <w:rFonts w:eastAsia="MS Mincho"/>
                <w:sz w:val="20"/>
                <w:lang w:eastAsia="ja-JP"/>
              </w:rPr>
            </w:pPr>
            <w:r w:rsidRPr="00113D17">
              <w:rPr>
                <w:sz w:val="20"/>
              </w:rPr>
              <w:t>Equity</w:t>
            </w:r>
          </w:p>
        </w:tc>
        <w:tc>
          <w:tcPr>
            <w:tcW w:w="5812" w:type="dxa"/>
            <w:shd w:val="clear" w:color="auto" w:fill="DEEAF6" w:themeFill="accent5" w:themeFillTint="33"/>
          </w:tcPr>
          <w:p w14:paraId="2F2ED1A4" w14:textId="77777777" w:rsidR="00457C6A" w:rsidRPr="00113D17" w:rsidRDefault="00457C6A" w:rsidP="006561E7">
            <w:pPr>
              <w:pStyle w:val="TableText"/>
              <w:keepNext/>
              <w:keepLines/>
              <w:spacing w:before="0" w:after="0" w:line="240" w:lineRule="auto"/>
              <w:rPr>
                <w:sz w:val="20"/>
              </w:rPr>
            </w:pPr>
            <w:r w:rsidRPr="00113D17">
              <w:rPr>
                <w:sz w:val="20"/>
              </w:rPr>
              <w:t>Haze contributes to respiration difficulties and other haze-related illness</w:t>
            </w:r>
            <w:r w:rsidR="00AF6FEF" w:rsidRPr="00113D17">
              <w:rPr>
                <w:sz w:val="20"/>
              </w:rPr>
              <w:t>,</w:t>
            </w:r>
            <w:r w:rsidRPr="00113D17">
              <w:rPr>
                <w:sz w:val="20"/>
              </w:rPr>
              <w:t xml:space="preserve"> particularly in children and in poor</w:t>
            </w:r>
            <w:r w:rsidR="00AF6FEF" w:rsidRPr="00113D17">
              <w:rPr>
                <w:sz w:val="20"/>
              </w:rPr>
              <w:t xml:space="preserve"> people</w:t>
            </w:r>
            <w:r w:rsidRPr="00113D17">
              <w:rPr>
                <w:sz w:val="20"/>
              </w:rPr>
              <w:t>.</w:t>
            </w:r>
          </w:p>
        </w:tc>
        <w:tc>
          <w:tcPr>
            <w:tcW w:w="1832" w:type="dxa"/>
            <w:tcBorders>
              <w:right w:val="single" w:sz="2" w:space="0" w:color="auto"/>
            </w:tcBorders>
            <w:shd w:val="clear" w:color="auto" w:fill="DEEAF6" w:themeFill="accent5" w:themeFillTint="33"/>
          </w:tcPr>
          <w:p w14:paraId="322D5240" w14:textId="1EE11333" w:rsidR="00457C6A" w:rsidRPr="00113D17" w:rsidRDefault="00C15DB7" w:rsidP="006561E7">
            <w:pPr>
              <w:pStyle w:val="TableText"/>
              <w:keepNext/>
              <w:keepLines/>
              <w:spacing w:before="0" w:after="0" w:line="240" w:lineRule="auto"/>
              <w:rPr>
                <w:sz w:val="20"/>
              </w:rPr>
            </w:pPr>
            <w:r w:rsidRPr="00113D17">
              <w:rPr>
                <w:sz w:val="20"/>
              </w:rPr>
              <w:t xml:space="preserve">Malaysian Nature Society Science and Conservation Unit </w:t>
            </w:r>
            <w:r w:rsidR="00020A2F">
              <w:rPr>
                <w:sz w:val="20"/>
              </w:rPr>
              <w:t>1997</w:t>
            </w:r>
            <w:r w:rsidRPr="00113D17">
              <w:rPr>
                <w:sz w:val="20"/>
              </w:rPr>
              <w:t>;</w:t>
            </w:r>
            <w:r w:rsidR="006561E7">
              <w:rPr>
                <w:sz w:val="20"/>
              </w:rPr>
              <w:t xml:space="preserve"> </w:t>
            </w:r>
            <w:r w:rsidRPr="00113D17">
              <w:rPr>
                <w:sz w:val="20"/>
              </w:rPr>
              <w:t xml:space="preserve">Gordon, Mackay and </w:t>
            </w:r>
            <w:proofErr w:type="spellStart"/>
            <w:r w:rsidRPr="00113D17">
              <w:rPr>
                <w:sz w:val="20"/>
              </w:rPr>
              <w:t>Rehfuess</w:t>
            </w:r>
            <w:proofErr w:type="spellEnd"/>
            <w:r w:rsidR="00020A2F">
              <w:rPr>
                <w:sz w:val="20"/>
              </w:rPr>
              <w:t xml:space="preserve"> </w:t>
            </w:r>
            <w:r w:rsidR="00F340B7" w:rsidRPr="00113D17">
              <w:rPr>
                <w:sz w:val="20"/>
              </w:rPr>
              <w:t>2004</w:t>
            </w:r>
          </w:p>
        </w:tc>
      </w:tr>
      <w:tr w:rsidR="00457C6A" w:rsidRPr="004A1A26" w14:paraId="4178FBDC" w14:textId="77777777" w:rsidTr="000056BB">
        <w:tc>
          <w:tcPr>
            <w:tcW w:w="1526" w:type="dxa"/>
            <w:tcBorders>
              <w:left w:val="single" w:sz="2" w:space="0" w:color="auto"/>
            </w:tcBorders>
            <w:shd w:val="clear" w:color="auto" w:fill="auto"/>
          </w:tcPr>
          <w:p w14:paraId="500B73CD" w14:textId="77777777" w:rsidR="00457C6A" w:rsidRPr="00113D17" w:rsidRDefault="00457C6A" w:rsidP="006561E7">
            <w:pPr>
              <w:pStyle w:val="TableText"/>
              <w:keepNext/>
              <w:keepLines/>
              <w:spacing w:before="0" w:after="0" w:line="240" w:lineRule="auto"/>
              <w:rPr>
                <w:rFonts w:eastAsia="MS Mincho"/>
                <w:sz w:val="20"/>
                <w:lang w:eastAsia="ja-JP"/>
              </w:rPr>
            </w:pPr>
            <w:r w:rsidRPr="00113D17">
              <w:rPr>
                <w:sz w:val="20"/>
              </w:rPr>
              <w:lastRenderedPageBreak/>
              <w:t>Co-benefits</w:t>
            </w:r>
          </w:p>
        </w:tc>
        <w:tc>
          <w:tcPr>
            <w:tcW w:w="5812" w:type="dxa"/>
            <w:shd w:val="clear" w:color="auto" w:fill="auto"/>
          </w:tcPr>
          <w:p w14:paraId="62667196" w14:textId="233695D0" w:rsidR="00F340B7" w:rsidRPr="00113D17" w:rsidRDefault="00457C6A" w:rsidP="006561E7">
            <w:pPr>
              <w:pStyle w:val="TableText"/>
              <w:keepNext/>
              <w:keepLines/>
              <w:spacing w:before="0" w:after="0" w:line="240" w:lineRule="auto"/>
              <w:rPr>
                <w:sz w:val="20"/>
              </w:rPr>
            </w:pPr>
            <w:r w:rsidRPr="00113D17">
              <w:rPr>
                <w:sz w:val="20"/>
              </w:rPr>
              <w:t xml:space="preserve">Associated impacts from haze include </w:t>
            </w:r>
            <w:r w:rsidR="00AF6FEF" w:rsidRPr="00113D17">
              <w:rPr>
                <w:sz w:val="20"/>
              </w:rPr>
              <w:t>CO</w:t>
            </w:r>
            <w:r w:rsidR="00AF6FEF" w:rsidRPr="00113D17">
              <w:rPr>
                <w:sz w:val="20"/>
                <w:vertAlign w:val="subscript"/>
              </w:rPr>
              <w:t>2</w:t>
            </w:r>
            <w:r w:rsidR="006561E7" w:rsidRPr="006561E7">
              <w:rPr>
                <w:sz w:val="20"/>
              </w:rPr>
              <w:t xml:space="preserve"> </w:t>
            </w:r>
            <w:r w:rsidR="00F340B7" w:rsidRPr="00113D17">
              <w:rPr>
                <w:sz w:val="20"/>
              </w:rPr>
              <w:t>emission</w:t>
            </w:r>
            <w:r w:rsidR="00AF6FEF" w:rsidRPr="00113D17">
              <w:rPr>
                <w:sz w:val="20"/>
              </w:rPr>
              <w:t>s</w:t>
            </w:r>
            <w:r w:rsidRPr="00113D17">
              <w:rPr>
                <w:sz w:val="20"/>
              </w:rPr>
              <w:t xml:space="preserve">, losses of wildlife and potential benefits from nature preservation and biodiversity; impacts are linked to </w:t>
            </w:r>
            <w:r w:rsidR="00AF6FEF" w:rsidRPr="00113D17">
              <w:rPr>
                <w:sz w:val="20"/>
              </w:rPr>
              <w:t>the S</w:t>
            </w:r>
            <w:r w:rsidRPr="00113D17">
              <w:rPr>
                <w:sz w:val="20"/>
              </w:rPr>
              <w:t xml:space="preserve">ustainable </w:t>
            </w:r>
            <w:r w:rsidR="00AF6FEF" w:rsidRPr="00113D17">
              <w:rPr>
                <w:sz w:val="20"/>
              </w:rPr>
              <w:t>D</w:t>
            </w:r>
            <w:r w:rsidRPr="00113D17">
              <w:rPr>
                <w:sz w:val="20"/>
              </w:rPr>
              <w:t xml:space="preserve">evelopment </w:t>
            </w:r>
            <w:r w:rsidR="00AF6FEF" w:rsidRPr="00113D17">
              <w:rPr>
                <w:sz w:val="20"/>
              </w:rPr>
              <w:t>G</w:t>
            </w:r>
            <w:r w:rsidRPr="00113D17">
              <w:rPr>
                <w:sz w:val="20"/>
              </w:rPr>
              <w:t xml:space="preserve">oals </w:t>
            </w:r>
            <w:r w:rsidRPr="00113D17">
              <w:rPr>
                <w:sz w:val="20"/>
                <w:lang w:eastAsia="ja-JP"/>
              </w:rPr>
              <w:t>such as goals 3, 11 and 12</w:t>
            </w:r>
            <w:r w:rsidRPr="00113D17">
              <w:rPr>
                <w:sz w:val="20"/>
              </w:rPr>
              <w:t xml:space="preserve">. </w:t>
            </w:r>
            <w:r w:rsidR="00AF6FEF" w:rsidRPr="00113D17">
              <w:rPr>
                <w:sz w:val="20"/>
              </w:rPr>
              <w:t xml:space="preserve">The </w:t>
            </w:r>
            <w:r w:rsidRPr="00113D17">
              <w:rPr>
                <w:sz w:val="20"/>
              </w:rPr>
              <w:t xml:space="preserve">ASEAN peatland management strategy and </w:t>
            </w:r>
            <w:r w:rsidR="00AF6FEF" w:rsidRPr="00113D17">
              <w:rPr>
                <w:sz w:val="20"/>
              </w:rPr>
              <w:t xml:space="preserve">the </w:t>
            </w:r>
            <w:r w:rsidRPr="00113D17">
              <w:rPr>
                <w:sz w:val="20"/>
              </w:rPr>
              <w:t>SEA</w:t>
            </w:r>
            <w:r w:rsidR="006561E7">
              <w:rPr>
                <w:sz w:val="20"/>
              </w:rPr>
              <w:t xml:space="preserve"> </w:t>
            </w:r>
            <w:r w:rsidRPr="00113D17">
              <w:rPr>
                <w:sz w:val="20"/>
              </w:rPr>
              <w:t>peat project include contribution</w:t>
            </w:r>
            <w:r w:rsidR="00AF6FEF" w:rsidRPr="00113D17">
              <w:rPr>
                <w:sz w:val="20"/>
              </w:rPr>
              <w:t>s</w:t>
            </w:r>
            <w:r w:rsidRPr="00113D17">
              <w:rPr>
                <w:sz w:val="20"/>
              </w:rPr>
              <w:t xml:space="preserve"> to climate change mitigation (</w:t>
            </w:r>
            <w:r w:rsidR="00F340B7" w:rsidRPr="00113D17">
              <w:rPr>
                <w:sz w:val="20"/>
              </w:rPr>
              <w:t>2006</w:t>
            </w:r>
            <w:r w:rsidR="00AF6FEF" w:rsidRPr="00113D17">
              <w:rPr>
                <w:sz w:val="20"/>
              </w:rPr>
              <w:t>–</w:t>
            </w:r>
            <w:r w:rsidR="00F340B7" w:rsidRPr="00113D17">
              <w:rPr>
                <w:sz w:val="20"/>
              </w:rPr>
              <w:t>2020</w:t>
            </w:r>
            <w:r w:rsidRPr="00113D17">
              <w:rPr>
                <w:sz w:val="20"/>
              </w:rPr>
              <w:t>).</w:t>
            </w:r>
          </w:p>
          <w:p w14:paraId="0F2079D6" w14:textId="001E02F7" w:rsidR="00457C6A" w:rsidRPr="00113D17" w:rsidRDefault="00457C6A" w:rsidP="006561E7">
            <w:pPr>
              <w:pStyle w:val="TableText"/>
              <w:keepNext/>
              <w:keepLines/>
              <w:spacing w:before="0" w:after="0" w:line="240" w:lineRule="auto"/>
              <w:rPr>
                <w:sz w:val="20"/>
              </w:rPr>
            </w:pPr>
            <w:r w:rsidRPr="00113D17">
              <w:rPr>
                <w:sz w:val="20"/>
              </w:rPr>
              <w:t xml:space="preserve">The Agreement is relevant to the achievement of national air quality targets. </w:t>
            </w:r>
            <w:r w:rsidR="006E7B5B" w:rsidRPr="00113D17">
              <w:rPr>
                <w:sz w:val="20"/>
              </w:rPr>
              <w:t>E.g., i</w:t>
            </w:r>
            <w:r w:rsidRPr="00113D17">
              <w:rPr>
                <w:sz w:val="20"/>
              </w:rPr>
              <w:t>n Singapore, where</w:t>
            </w:r>
            <w:r w:rsidR="006561E7">
              <w:rPr>
                <w:sz w:val="20"/>
              </w:rPr>
              <w:t xml:space="preserve"> </w:t>
            </w:r>
            <w:r w:rsidRPr="00113D17">
              <w:rPr>
                <w:sz w:val="20"/>
              </w:rPr>
              <w:t xml:space="preserve">targets for </w:t>
            </w:r>
            <w:r w:rsidR="00F340B7" w:rsidRPr="00113D17">
              <w:rPr>
                <w:sz w:val="20"/>
              </w:rPr>
              <w:t>2020</w:t>
            </w:r>
            <w:r w:rsidRPr="00113D17">
              <w:rPr>
                <w:sz w:val="20"/>
              </w:rPr>
              <w:t xml:space="preserve"> have been adopted, effective management of peatlands and the control of haze pollution in neighbouring countries ha</w:t>
            </w:r>
            <w:r w:rsidR="00AF6FEF" w:rsidRPr="00113D17">
              <w:rPr>
                <w:sz w:val="20"/>
              </w:rPr>
              <w:t>ve</w:t>
            </w:r>
            <w:r w:rsidRPr="00113D17">
              <w:rPr>
                <w:sz w:val="20"/>
              </w:rPr>
              <w:t xml:space="preserve"> a direct impact on the quality of air.</w:t>
            </w:r>
          </w:p>
        </w:tc>
        <w:tc>
          <w:tcPr>
            <w:tcW w:w="1832" w:type="dxa"/>
            <w:tcBorders>
              <w:right w:val="single" w:sz="2" w:space="0" w:color="auto"/>
            </w:tcBorders>
            <w:shd w:val="clear" w:color="auto" w:fill="auto"/>
          </w:tcPr>
          <w:p w14:paraId="6BEEC142" w14:textId="77777777" w:rsidR="00457C6A" w:rsidRPr="00113D17" w:rsidRDefault="00F47645" w:rsidP="006561E7">
            <w:pPr>
              <w:pStyle w:val="TableText"/>
              <w:keepNext/>
              <w:keepLines/>
              <w:spacing w:before="0" w:after="0" w:line="240" w:lineRule="auto"/>
              <w:rPr>
                <w:sz w:val="20"/>
              </w:rPr>
            </w:pPr>
            <w:r w:rsidRPr="00113D17">
              <w:rPr>
                <w:sz w:val="20"/>
              </w:rPr>
              <w:t xml:space="preserve">Asia Pacific Clean Air Partnership [APCAP] </w:t>
            </w:r>
            <w:r w:rsidR="00F340B7" w:rsidRPr="00113D17">
              <w:rPr>
                <w:sz w:val="20"/>
              </w:rPr>
              <w:t>2015</w:t>
            </w:r>
            <w:r w:rsidR="00936317" w:rsidRPr="00113D17">
              <w:rPr>
                <w:sz w:val="20"/>
              </w:rPr>
              <w:t xml:space="preserve">, p. </w:t>
            </w:r>
            <w:r w:rsidR="00457C6A" w:rsidRPr="00113D17">
              <w:rPr>
                <w:sz w:val="20"/>
              </w:rPr>
              <w:t>2</w:t>
            </w:r>
            <w:r w:rsidR="00936317" w:rsidRPr="00113D17">
              <w:rPr>
                <w:sz w:val="20"/>
              </w:rPr>
              <w:t xml:space="preserve">; </w:t>
            </w:r>
            <w:r w:rsidR="00401A25" w:rsidRPr="00113D17">
              <w:rPr>
                <w:sz w:val="20"/>
              </w:rPr>
              <w:t xml:space="preserve">World Wide Fund for Nature [WWF] </w:t>
            </w:r>
            <w:r w:rsidR="00F340B7" w:rsidRPr="00113D17">
              <w:rPr>
                <w:sz w:val="20"/>
              </w:rPr>
              <w:t>2018</w:t>
            </w:r>
          </w:p>
        </w:tc>
      </w:tr>
      <w:tr w:rsidR="00457C6A" w:rsidRPr="004A1A26" w14:paraId="79BC0C0D" w14:textId="77777777" w:rsidTr="000056BB">
        <w:trPr>
          <w:trHeight w:val="602"/>
        </w:trPr>
        <w:tc>
          <w:tcPr>
            <w:tcW w:w="1526" w:type="dxa"/>
            <w:tcBorders>
              <w:left w:val="single" w:sz="2" w:space="0" w:color="auto"/>
            </w:tcBorders>
            <w:shd w:val="clear" w:color="auto" w:fill="DEEAF6"/>
          </w:tcPr>
          <w:p w14:paraId="5962FC90" w14:textId="77777777" w:rsidR="00457C6A" w:rsidRPr="00113D17" w:rsidRDefault="00457C6A" w:rsidP="006561E7">
            <w:pPr>
              <w:pStyle w:val="TableText"/>
              <w:keepNext/>
              <w:keepLines/>
              <w:spacing w:before="0" w:after="0" w:line="240" w:lineRule="auto"/>
              <w:rPr>
                <w:sz w:val="20"/>
              </w:rPr>
            </w:pPr>
            <w:r w:rsidRPr="00113D17">
              <w:rPr>
                <w:sz w:val="20"/>
              </w:rPr>
              <w:t>Transboundary effects</w:t>
            </w:r>
          </w:p>
        </w:tc>
        <w:tc>
          <w:tcPr>
            <w:tcW w:w="5812" w:type="dxa"/>
            <w:shd w:val="clear" w:color="auto" w:fill="DEEAF6"/>
          </w:tcPr>
          <w:p w14:paraId="458011C1" w14:textId="77777777" w:rsidR="00457C6A" w:rsidRPr="00113D17" w:rsidRDefault="00661F8D" w:rsidP="006561E7">
            <w:pPr>
              <w:pStyle w:val="TableText"/>
              <w:keepNext/>
              <w:keepLines/>
              <w:spacing w:before="0" w:after="0" w:line="240" w:lineRule="auto"/>
              <w:rPr>
                <w:sz w:val="20"/>
              </w:rPr>
            </w:pPr>
            <w:r w:rsidRPr="00113D17">
              <w:rPr>
                <w:sz w:val="20"/>
              </w:rPr>
              <w:t xml:space="preserve">Smoke from wildfires and </w:t>
            </w:r>
            <w:r w:rsidR="00AF6FEF" w:rsidRPr="00113D17">
              <w:rPr>
                <w:sz w:val="20"/>
              </w:rPr>
              <w:t xml:space="preserve">burning </w:t>
            </w:r>
            <w:r w:rsidRPr="00113D17">
              <w:rPr>
                <w:sz w:val="20"/>
              </w:rPr>
              <w:t>agricultur</w:t>
            </w:r>
            <w:r w:rsidR="00AF6FEF" w:rsidRPr="00113D17">
              <w:rPr>
                <w:sz w:val="20"/>
              </w:rPr>
              <w:t xml:space="preserve">al </w:t>
            </w:r>
            <w:r w:rsidRPr="00113D17">
              <w:rPr>
                <w:sz w:val="20"/>
              </w:rPr>
              <w:t xml:space="preserve">waste travels to </w:t>
            </w:r>
            <w:r w:rsidR="00054D99" w:rsidRPr="00113D17">
              <w:rPr>
                <w:sz w:val="20"/>
              </w:rPr>
              <w:t xml:space="preserve">and adversely affects </w:t>
            </w:r>
            <w:r w:rsidRPr="00113D17">
              <w:rPr>
                <w:sz w:val="20"/>
              </w:rPr>
              <w:t>other countries.</w:t>
            </w:r>
          </w:p>
        </w:tc>
        <w:tc>
          <w:tcPr>
            <w:tcW w:w="1832" w:type="dxa"/>
            <w:tcBorders>
              <w:right w:val="single" w:sz="2" w:space="0" w:color="auto"/>
            </w:tcBorders>
            <w:shd w:val="clear" w:color="auto" w:fill="DEEAF6"/>
          </w:tcPr>
          <w:p w14:paraId="5D35F31A" w14:textId="77777777" w:rsidR="00457C6A" w:rsidRPr="00113D17" w:rsidRDefault="00457C6A" w:rsidP="006561E7">
            <w:pPr>
              <w:pStyle w:val="TableText"/>
              <w:keepNext/>
              <w:keepLines/>
              <w:spacing w:before="0" w:after="0" w:line="240" w:lineRule="auto"/>
              <w:rPr>
                <w:sz w:val="20"/>
              </w:rPr>
            </w:pPr>
          </w:p>
        </w:tc>
      </w:tr>
      <w:tr w:rsidR="00457C6A" w:rsidRPr="004A1A26" w14:paraId="5BA40099" w14:textId="77777777" w:rsidTr="000056BB">
        <w:trPr>
          <w:trHeight w:val="1417"/>
        </w:trPr>
        <w:tc>
          <w:tcPr>
            <w:tcW w:w="1526" w:type="dxa"/>
            <w:tcBorders>
              <w:left w:val="single" w:sz="2" w:space="0" w:color="auto"/>
              <w:bottom w:val="single" w:sz="2" w:space="0" w:color="auto"/>
            </w:tcBorders>
            <w:shd w:val="clear" w:color="auto" w:fill="auto"/>
          </w:tcPr>
          <w:p w14:paraId="3E27463C" w14:textId="77777777" w:rsidR="00457C6A" w:rsidRPr="00113D17" w:rsidRDefault="00457C6A" w:rsidP="006561E7">
            <w:pPr>
              <w:pStyle w:val="TableText"/>
              <w:keepNext/>
              <w:keepLines/>
              <w:spacing w:before="0" w:after="0" w:line="240" w:lineRule="auto"/>
              <w:rPr>
                <w:sz w:val="20"/>
              </w:rPr>
            </w:pPr>
            <w:r w:rsidRPr="00113D17">
              <w:rPr>
                <w:sz w:val="20"/>
              </w:rPr>
              <w:t>Possible improvements</w:t>
            </w:r>
          </w:p>
        </w:tc>
        <w:tc>
          <w:tcPr>
            <w:tcW w:w="5812" w:type="dxa"/>
            <w:tcBorders>
              <w:bottom w:val="single" w:sz="2" w:space="0" w:color="auto"/>
            </w:tcBorders>
            <w:shd w:val="clear" w:color="auto" w:fill="auto"/>
          </w:tcPr>
          <w:p w14:paraId="03BE3ADA" w14:textId="1A646C43" w:rsidR="00457C6A" w:rsidRPr="00113D17" w:rsidRDefault="006777BA" w:rsidP="006561E7">
            <w:pPr>
              <w:pStyle w:val="TableText"/>
              <w:keepNext/>
              <w:keepLines/>
              <w:spacing w:before="0" w:after="0" w:line="240" w:lineRule="auto"/>
              <w:rPr>
                <w:sz w:val="20"/>
              </w:rPr>
            </w:pPr>
            <w:r w:rsidRPr="00113D17">
              <w:rPr>
                <w:sz w:val="20"/>
              </w:rPr>
              <w:t>D</w:t>
            </w:r>
            <w:r w:rsidR="00661F8D" w:rsidRPr="00113D17">
              <w:rPr>
                <w:sz w:val="20"/>
              </w:rPr>
              <w:t xml:space="preserve">evelopment of a zero-burning policy, accomplishment of ASEAN Community Vision </w:t>
            </w:r>
            <w:r w:rsidR="00F340B7" w:rsidRPr="00113D17">
              <w:rPr>
                <w:sz w:val="20"/>
              </w:rPr>
              <w:t>2025</w:t>
            </w:r>
            <w:r w:rsidR="00661F8D" w:rsidRPr="00113D17">
              <w:rPr>
                <w:sz w:val="20"/>
              </w:rPr>
              <w:t>, and raising political will for further cooperation</w:t>
            </w:r>
            <w:r w:rsidR="00AF6FEF" w:rsidRPr="00113D17">
              <w:rPr>
                <w:sz w:val="20"/>
              </w:rPr>
              <w:t>;</w:t>
            </w:r>
            <w:r w:rsidR="006561E7">
              <w:rPr>
                <w:sz w:val="20"/>
              </w:rPr>
              <w:t xml:space="preserve"> </w:t>
            </w:r>
            <w:r w:rsidR="00AF6FEF" w:rsidRPr="00113D17">
              <w:rPr>
                <w:sz w:val="20"/>
              </w:rPr>
              <w:t>c</w:t>
            </w:r>
            <w:r w:rsidR="00661F8D" w:rsidRPr="00113D17">
              <w:rPr>
                <w:sz w:val="20"/>
              </w:rPr>
              <w:t xml:space="preserve">ould gain potential benefit through </w:t>
            </w:r>
            <w:r w:rsidR="00F340B7" w:rsidRPr="00113D17">
              <w:rPr>
                <w:sz w:val="20"/>
              </w:rPr>
              <w:t>collaborat</w:t>
            </w:r>
            <w:r w:rsidR="00661F8D" w:rsidRPr="00113D17">
              <w:rPr>
                <w:sz w:val="20"/>
              </w:rPr>
              <w:t xml:space="preserve">ion with other initiatives such as </w:t>
            </w:r>
            <w:r w:rsidR="00AF6FEF" w:rsidRPr="00113D17">
              <w:rPr>
                <w:sz w:val="20"/>
              </w:rPr>
              <w:t xml:space="preserve">the </w:t>
            </w:r>
            <w:r w:rsidR="00661F8D" w:rsidRPr="00113D17">
              <w:rPr>
                <w:sz w:val="20"/>
              </w:rPr>
              <w:t xml:space="preserve">Acid Deposition Monitoring Network in </w:t>
            </w:r>
            <w:r w:rsidR="00F340B7" w:rsidRPr="00113D17">
              <w:rPr>
                <w:sz w:val="20"/>
              </w:rPr>
              <w:t>East</w:t>
            </w:r>
            <w:r w:rsidR="00661F8D" w:rsidRPr="00113D17">
              <w:rPr>
                <w:sz w:val="20"/>
              </w:rPr>
              <w:t xml:space="preserve"> Asia, </w:t>
            </w:r>
            <w:r w:rsidR="00AF6FEF" w:rsidRPr="00113D17">
              <w:rPr>
                <w:sz w:val="20"/>
              </w:rPr>
              <w:t xml:space="preserve">the </w:t>
            </w:r>
            <w:r w:rsidR="00661F8D" w:rsidRPr="00113D17">
              <w:rPr>
                <w:sz w:val="20"/>
              </w:rPr>
              <w:t>Climate and Clean Air Coalition, and the Asian Co-benefits Partnersh</w:t>
            </w:r>
            <w:r w:rsidR="00280D45" w:rsidRPr="00113D17">
              <w:rPr>
                <w:sz w:val="20"/>
              </w:rPr>
              <w:t>ip</w:t>
            </w:r>
          </w:p>
        </w:tc>
        <w:tc>
          <w:tcPr>
            <w:tcW w:w="1832" w:type="dxa"/>
            <w:tcBorders>
              <w:bottom w:val="single" w:sz="2" w:space="0" w:color="auto"/>
              <w:right w:val="single" w:sz="2" w:space="0" w:color="auto"/>
            </w:tcBorders>
            <w:shd w:val="clear" w:color="auto" w:fill="auto"/>
          </w:tcPr>
          <w:p w14:paraId="33E46283" w14:textId="77777777" w:rsidR="00457C6A" w:rsidRPr="00113D17" w:rsidRDefault="00457C6A" w:rsidP="006561E7">
            <w:pPr>
              <w:pStyle w:val="TableText"/>
              <w:keepNext/>
              <w:keepLines/>
              <w:spacing w:before="0" w:after="0" w:line="240" w:lineRule="auto"/>
              <w:rPr>
                <w:sz w:val="20"/>
              </w:rPr>
            </w:pPr>
          </w:p>
        </w:tc>
      </w:tr>
    </w:tbl>
    <w:p w14:paraId="3DB7D296" w14:textId="77777777" w:rsidR="00F340B7" w:rsidRPr="004A1A26" w:rsidRDefault="00F340B7" w:rsidP="00B477F5">
      <w:pPr>
        <w:rPr>
          <w:lang w:eastAsia="zh-CN"/>
        </w:rPr>
      </w:pPr>
    </w:p>
    <w:p w14:paraId="501698A3" w14:textId="77777777" w:rsidR="00F340B7" w:rsidRPr="004A1A26" w:rsidRDefault="000049C5" w:rsidP="00B477F5">
      <w:r w:rsidRPr="004A1A26">
        <w:t xml:space="preserve">There are mixed views on the </w:t>
      </w:r>
      <w:r w:rsidR="00F83BF4" w:rsidRPr="004A1A26">
        <w:t xml:space="preserve">effectiveness </w:t>
      </w:r>
      <w:r w:rsidRPr="004A1A26">
        <w:t xml:space="preserve">of the Agreement in achieving its goals. </w:t>
      </w:r>
      <w:r w:rsidR="004466E4" w:rsidRPr="004A1A26">
        <w:t xml:space="preserve">In 2003, it became the first regional environmental agreement under ASEAN to enter into force, but not all ASEAN countries ratified the agreement until 2014.  Some international cooperative activities and national policies were initiated following entry into force, but major haze events have continued to occur, with notable episodes in 2013 and 2015.  </w:t>
      </w:r>
      <w:r w:rsidR="00247E3C" w:rsidRPr="004A1A26">
        <w:t xml:space="preserve">Like many MEAs, the </w:t>
      </w:r>
      <w:r w:rsidR="00F83BF4" w:rsidRPr="004A1A26">
        <w:t>Agreement has no sanction</w:t>
      </w:r>
      <w:r w:rsidR="00C9410D" w:rsidRPr="004A1A26">
        <w:t>s</w:t>
      </w:r>
      <w:r w:rsidR="00F83BF4" w:rsidRPr="004A1A26">
        <w:t xml:space="preserve"> clause on failure to meet stipulated obligations. </w:t>
      </w:r>
    </w:p>
    <w:p w14:paraId="0DEA7E62" w14:textId="0F0ECD6D" w:rsidR="00F340B7" w:rsidRPr="004A1A26" w:rsidRDefault="00F83BF4" w:rsidP="00B477F5">
      <w:r w:rsidRPr="004A1A26">
        <w:t xml:space="preserve">Some </w:t>
      </w:r>
      <w:r w:rsidR="00F340B7" w:rsidRPr="004A1A26">
        <w:t>progress</w:t>
      </w:r>
      <w:r w:rsidRPr="004A1A26">
        <w:t xml:space="preserve"> ha</w:t>
      </w:r>
      <w:r w:rsidR="00C9410D" w:rsidRPr="004A1A26">
        <w:t>s</w:t>
      </w:r>
      <w:r w:rsidRPr="004A1A26">
        <w:t xml:space="preserve"> been observed since </w:t>
      </w:r>
      <w:r w:rsidR="00F340B7" w:rsidRPr="004A1A26">
        <w:t>2015</w:t>
      </w:r>
      <w:r w:rsidRPr="004A1A26">
        <w:t>. Brunei has developed its own transboundary haze forecasting system.</w:t>
      </w:r>
      <w:r w:rsidR="00792C80">
        <w:t xml:space="preserve"> </w:t>
      </w:r>
      <w:r w:rsidRPr="004A1A26">
        <w:t>Singapore tabled</w:t>
      </w:r>
      <w:r w:rsidR="00D46D36" w:rsidRPr="004A1A26">
        <w:t xml:space="preserve"> a</w:t>
      </w:r>
      <w:r w:rsidRPr="004A1A26">
        <w:t xml:space="preserve"> unilateral law </w:t>
      </w:r>
      <w:r w:rsidR="00AF6FEF" w:rsidRPr="004A1A26">
        <w:t xml:space="preserve">to </w:t>
      </w:r>
      <w:r w:rsidRPr="004A1A26">
        <w:t xml:space="preserve">hold companies accountable for causing illegal and severe air pollution, even in neighbouring countries. Indonesia </w:t>
      </w:r>
      <w:r w:rsidR="00281AC6" w:rsidRPr="004A1A26">
        <w:t xml:space="preserve">implemented regulations </w:t>
      </w:r>
      <w:r w:rsidR="003E4072" w:rsidRPr="004A1A26">
        <w:t xml:space="preserve">to protect </w:t>
      </w:r>
      <w:r w:rsidR="00281AC6" w:rsidRPr="004A1A26">
        <w:t xml:space="preserve">primary forests and peatland, building on a moratorium on new concessions started in 2011. This policy is expected to avoid </w:t>
      </w:r>
      <w:r w:rsidRPr="004A1A26">
        <w:t>7.8</w:t>
      </w:r>
      <w:r w:rsidR="004735C0">
        <w:t xml:space="preserve"> </w:t>
      </w:r>
      <w:r w:rsidR="00AF6FEF" w:rsidRPr="004A1A26">
        <w:t>Gt</w:t>
      </w:r>
      <w:r w:rsidR="004735C0">
        <w:t xml:space="preserve"> </w:t>
      </w:r>
      <w:r w:rsidR="00AF6FEF" w:rsidRPr="004A1A26">
        <w:t xml:space="preserve">of </w:t>
      </w:r>
      <w:r w:rsidRPr="004A1A26">
        <w:t>CO</w:t>
      </w:r>
      <w:r w:rsidRPr="004A1A26">
        <w:rPr>
          <w:vertAlign w:val="subscript"/>
        </w:rPr>
        <w:t>2</w:t>
      </w:r>
      <w:r w:rsidR="00F340B7" w:rsidRPr="004A1A26">
        <w:t>emission</w:t>
      </w:r>
      <w:r w:rsidRPr="004A1A26">
        <w:t xml:space="preserve">s by </w:t>
      </w:r>
      <w:r w:rsidR="00F340B7" w:rsidRPr="004A1A26">
        <w:t>2030</w:t>
      </w:r>
      <w:r w:rsidRPr="004A1A26">
        <w:t xml:space="preserve"> (Re</w:t>
      </w:r>
      <w:r w:rsidR="00944F29" w:rsidRPr="004A1A26">
        <w:t xml:space="preserve">public of Indonesia </w:t>
      </w:r>
      <w:r w:rsidR="00F340B7" w:rsidRPr="004A1A26">
        <w:t>2015</w:t>
      </w:r>
      <w:r w:rsidR="00944F29" w:rsidRPr="004A1A26">
        <w:t xml:space="preserve">, pp. </w:t>
      </w:r>
      <w:r w:rsidRPr="004A1A26">
        <w:t>5</w:t>
      </w:r>
      <w:r w:rsidR="00AF6FEF" w:rsidRPr="004A1A26">
        <w:t>–</w:t>
      </w:r>
      <w:r w:rsidRPr="004A1A26">
        <w:t>6)</w:t>
      </w:r>
      <w:r w:rsidR="00D46D36" w:rsidRPr="004A1A26">
        <w:t>.</w:t>
      </w:r>
    </w:p>
    <w:p w14:paraId="77FF2EEB" w14:textId="45EB81EC" w:rsidR="00F340B7" w:rsidRPr="004A1A26" w:rsidRDefault="00C57A67" w:rsidP="00B477F5">
      <w:r w:rsidRPr="004A1A26">
        <w:t xml:space="preserve">Activities under the Agreement can also support other </w:t>
      </w:r>
      <w:r w:rsidR="00CE0CA1" w:rsidRPr="004A1A26">
        <w:t xml:space="preserve">cooperation in the </w:t>
      </w:r>
      <w:r w:rsidRPr="004A1A26">
        <w:t>region</w:t>
      </w:r>
      <w:r w:rsidR="002957C0" w:rsidRPr="004A1A26">
        <w:t>, not least the coordination of monitoring networks, such as through the Asia Pacific Clean Air Partnership (APCAP).</w:t>
      </w:r>
      <w:r w:rsidR="004735C0">
        <w:t xml:space="preserve"> </w:t>
      </w:r>
      <w:r w:rsidR="002957C0" w:rsidRPr="004A1A26">
        <w:t xml:space="preserve">APCAP brings </w:t>
      </w:r>
      <w:r w:rsidR="00F340B7" w:rsidRPr="004A1A26">
        <w:t>together</w:t>
      </w:r>
      <w:r w:rsidR="002957C0" w:rsidRPr="004A1A26">
        <w:t xml:space="preserve"> the ASEAN Haze Agreement, the </w:t>
      </w:r>
      <w:proofErr w:type="spellStart"/>
      <w:r w:rsidR="00F83BF4" w:rsidRPr="004A1A26">
        <w:t>Malé</w:t>
      </w:r>
      <w:proofErr w:type="spellEnd"/>
      <w:r w:rsidR="00F83BF4" w:rsidRPr="004A1A26">
        <w:t xml:space="preserve"> Declaration</w:t>
      </w:r>
      <w:r w:rsidR="002957C0" w:rsidRPr="004A1A26">
        <w:t xml:space="preserve">, the </w:t>
      </w:r>
      <w:r w:rsidR="00F340B7" w:rsidRPr="004A1A26">
        <w:t>East</w:t>
      </w:r>
      <w:r w:rsidR="002957C0" w:rsidRPr="004A1A26">
        <w:t xml:space="preserve"> Asia Network for Acid Deposition,</w:t>
      </w:r>
      <w:r w:rsidR="00F83BF4" w:rsidRPr="004A1A26">
        <w:t xml:space="preserve"> and the Atmospheric Brown Cloud initiatives.</w:t>
      </w:r>
    </w:p>
    <w:p w14:paraId="13B7EBDA" w14:textId="77777777" w:rsidR="00F340B7" w:rsidRPr="004A1A26" w:rsidRDefault="00F32F98" w:rsidP="00723413">
      <w:pPr>
        <w:pStyle w:val="Heading2"/>
      </w:pPr>
      <w:bookmarkStart w:id="55" w:name="_Toc516842472"/>
      <w:bookmarkStart w:id="56" w:name="_Toc500334340"/>
      <w:bookmarkStart w:id="57" w:name="_Toc500347366"/>
      <w:bookmarkStart w:id="58" w:name="_Toc500317249"/>
      <w:bookmarkStart w:id="59" w:name="_Toc500317442"/>
      <w:bookmarkEnd w:id="54"/>
      <w:r w:rsidRPr="004A1A26">
        <w:t>Indicators</w:t>
      </w:r>
      <w:bookmarkEnd w:id="55"/>
      <w:bookmarkEnd w:id="56"/>
      <w:bookmarkEnd w:id="57"/>
      <w:bookmarkEnd w:id="58"/>
      <w:bookmarkEnd w:id="59"/>
    </w:p>
    <w:p w14:paraId="11DFD50D" w14:textId="31D5470B" w:rsidR="00F340B7" w:rsidRPr="004A1A26" w:rsidRDefault="00C11FC4" w:rsidP="00B477F5">
      <w:r w:rsidRPr="004A1A26">
        <w:t xml:space="preserve">As discussed in </w:t>
      </w:r>
      <w:r w:rsidR="00C5133E">
        <w:t>C</w:t>
      </w:r>
      <w:r w:rsidRPr="004A1A26">
        <w:t>hapter 5, atmospheric change (including air pollution, climate change, stratospheric ozone depletion and PBT pollution) is directly or indirectly related to each of the SDGs</w:t>
      </w:r>
      <w:r w:rsidR="00C5133E">
        <w:t xml:space="preserve"> (see Figure 5.2)</w:t>
      </w:r>
      <w:r w:rsidRPr="004A1A26">
        <w:t xml:space="preserve">. These issues are also addressed by a collection of global and regional MEAs, as </w:t>
      </w:r>
      <w:r w:rsidR="00F340B7" w:rsidRPr="004A1A26">
        <w:t>well</w:t>
      </w:r>
      <w:r w:rsidRPr="004A1A26">
        <w:t xml:space="preserve"> as policies at the national, provincial and municipal level.</w:t>
      </w:r>
      <w:r w:rsidR="004735C0">
        <w:t xml:space="preserve"> </w:t>
      </w:r>
      <w:r w:rsidR="00A74ADE" w:rsidRPr="004A1A26">
        <w:t>To evaluate the effectiveness or sufficiency of any given policy</w:t>
      </w:r>
      <w:r w:rsidR="004735C0">
        <w:t xml:space="preserve"> </w:t>
      </w:r>
      <w:r w:rsidR="00A74ADE" w:rsidRPr="004A1A26">
        <w:t xml:space="preserve">or suite of policies, it is </w:t>
      </w:r>
      <w:r w:rsidR="00A74ADE" w:rsidRPr="004A1A26">
        <w:lastRenderedPageBreak/>
        <w:t>useful to have measurable indicators. Ideally, such indicators should be sensitive to the policy changes of interest but not confounded by other influences. However, the indicator should also be relatable to impacts of the policy change that society values. T</w:t>
      </w:r>
      <w:r w:rsidR="00C35993" w:rsidRPr="004A1A26">
        <w:t xml:space="preserve">hese two objectives point to either end of the DPSIR framework </w:t>
      </w:r>
      <w:r w:rsidR="00C5133E">
        <w:t xml:space="preserve">(Figure 1.2) </w:t>
      </w:r>
      <w:r w:rsidR="00C35993" w:rsidRPr="004A1A26">
        <w:t>used in the preceding chapters, suggesting that selecting one best indicator is often a compromise.</w:t>
      </w:r>
      <w:r w:rsidR="004735C0">
        <w:t xml:space="preserve"> </w:t>
      </w:r>
      <w:r w:rsidR="00C35993" w:rsidRPr="004A1A26">
        <w:t>The compromise might be different if the intent is to evaluate the effectiveness of a specific policy</w:t>
      </w:r>
      <w:r w:rsidRPr="004A1A26">
        <w:t xml:space="preserve"> (such as in the case studies above)</w:t>
      </w:r>
      <w:r w:rsidR="00C35993" w:rsidRPr="004A1A26">
        <w:t xml:space="preserve"> versus the sufficiency of a suite of policies</w:t>
      </w:r>
      <w:r w:rsidRPr="004A1A26">
        <w:t xml:space="preserve"> (including policies at different ge</w:t>
      </w:r>
      <w:r w:rsidR="00F340B7" w:rsidRPr="004A1A26">
        <w:t>ogra</w:t>
      </w:r>
      <w:r w:rsidRPr="004A1A26">
        <w:t>phic</w:t>
      </w:r>
      <w:r w:rsidR="003E15B1" w:rsidRPr="004A1A26">
        <w:t>al</w:t>
      </w:r>
      <w:r w:rsidRPr="004A1A26">
        <w:t xml:space="preserve"> scales)</w:t>
      </w:r>
      <w:r w:rsidR="00C35993" w:rsidRPr="004A1A26">
        <w:t>.</w:t>
      </w:r>
    </w:p>
    <w:p w14:paraId="52FD18CE" w14:textId="63849B73" w:rsidR="00F340B7" w:rsidRPr="004A1A26" w:rsidRDefault="00C11FC4" w:rsidP="00145DC7">
      <w:r w:rsidRPr="004A1A26">
        <w:t xml:space="preserve">This section describes three indicators of atmospheric change that are intended to track </w:t>
      </w:r>
      <w:r w:rsidR="00F340B7" w:rsidRPr="004A1A26">
        <w:t>progress</w:t>
      </w:r>
      <w:r w:rsidRPr="004A1A26">
        <w:t xml:space="preserve"> towards </w:t>
      </w:r>
      <w:r w:rsidR="00BA6181" w:rsidRPr="004A1A26">
        <w:t xml:space="preserve">the SDGs and compare the sufficiency of existing policies at the national scale. The indicators chosen </w:t>
      </w:r>
      <w:proofErr w:type="gramStart"/>
      <w:r w:rsidR="00BA6181" w:rsidRPr="004A1A26">
        <w:t>focus</w:t>
      </w:r>
      <w:proofErr w:type="gramEnd"/>
      <w:r w:rsidR="00BA6181" w:rsidRPr="004A1A26">
        <w:t xml:space="preserve"> on air pollution, stratospheric ozone depletion and climate change. The data available for </w:t>
      </w:r>
      <w:r w:rsidR="00F340B7" w:rsidRPr="004A1A26">
        <w:t>emission</w:t>
      </w:r>
      <w:r w:rsidR="00BA6181" w:rsidRPr="004A1A26">
        <w:t xml:space="preserve">s and concentrations of PBTs </w:t>
      </w:r>
      <w:r w:rsidR="003E15B1" w:rsidRPr="004A1A26">
        <w:t xml:space="preserve">are </w:t>
      </w:r>
      <w:r w:rsidR="00BA6181" w:rsidRPr="004A1A26">
        <w:t xml:space="preserve">not </w:t>
      </w:r>
      <w:proofErr w:type="gramStart"/>
      <w:r w:rsidR="00BA6181" w:rsidRPr="004A1A26">
        <w:t>sufficient</w:t>
      </w:r>
      <w:proofErr w:type="gramEnd"/>
      <w:r w:rsidR="00BA6181" w:rsidRPr="004A1A26">
        <w:t xml:space="preserve"> for evaluating the effectiveness of policies globally </w:t>
      </w:r>
      <w:r w:rsidR="004735C0">
        <w:t xml:space="preserve">or </w:t>
      </w:r>
      <w:r w:rsidR="00BA6181" w:rsidRPr="004A1A26">
        <w:t>at the national level.</w:t>
      </w:r>
    </w:p>
    <w:p w14:paraId="52AD82CF" w14:textId="27A47733" w:rsidR="00F340B7" w:rsidRPr="004A1A26" w:rsidRDefault="00F32F98" w:rsidP="00145DC7">
      <w:pPr>
        <w:pStyle w:val="Heading3"/>
      </w:pPr>
      <w:bookmarkStart w:id="60" w:name="_Toc500334341"/>
      <w:bookmarkStart w:id="61" w:name="_Toc516842473"/>
      <w:r w:rsidRPr="004A1A26">
        <w:t>Indicator 1:</w:t>
      </w:r>
      <w:r w:rsidR="00113D17">
        <w:t xml:space="preserve"> </w:t>
      </w:r>
      <w:r w:rsidRPr="004A1A26">
        <w:t>Population-weighted annual mean concentration of PM</w:t>
      </w:r>
      <w:r w:rsidRPr="004A1A26">
        <w:rPr>
          <w:vertAlign w:val="subscript"/>
        </w:rPr>
        <w:t>2.5</w:t>
      </w:r>
      <w:bookmarkEnd w:id="60"/>
      <w:bookmarkEnd w:id="61"/>
    </w:p>
    <w:p w14:paraId="65800F38" w14:textId="77777777" w:rsidR="00F340B7" w:rsidRPr="004A1A26" w:rsidRDefault="00F32F98" w:rsidP="00375A5D">
      <w:pPr>
        <w:pStyle w:val="Heading4"/>
        <w:rPr>
          <w:i/>
        </w:rPr>
      </w:pPr>
      <w:r w:rsidRPr="004A1A26">
        <w:t xml:space="preserve">Indicator </w:t>
      </w:r>
      <w:r w:rsidR="003E15B1" w:rsidRPr="004A1A26">
        <w:t>g</w:t>
      </w:r>
      <w:r w:rsidRPr="004A1A26">
        <w:t>raphic</w:t>
      </w:r>
    </w:p>
    <w:p w14:paraId="7CD4D73E" w14:textId="1880323F" w:rsidR="00F340B7" w:rsidRPr="004A1A26" w:rsidRDefault="007F7F78" w:rsidP="00B477F5">
      <w:r>
        <w:rPr>
          <w:noProof/>
        </w:rPr>
        <w:drawing>
          <wp:inline distT="0" distB="0" distL="0" distR="0" wp14:anchorId="09145B41" wp14:editId="5BA346F6">
            <wp:extent cx="5731510" cy="26054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2 Population-weighted annual country-wide mean concentration of PM2.5 in 2016.jpg"/>
                    <pic:cNvPicPr/>
                  </pic:nvPicPr>
                  <pic:blipFill>
                    <a:blip r:embed="rId14"/>
                    <a:stretch>
                      <a:fillRect/>
                    </a:stretch>
                  </pic:blipFill>
                  <pic:spPr>
                    <a:xfrm>
                      <a:off x="0" y="0"/>
                      <a:ext cx="5731510" cy="2605405"/>
                    </a:xfrm>
                    <a:prstGeom prst="rect">
                      <a:avLst/>
                    </a:prstGeom>
                  </pic:spPr>
                </pic:pic>
              </a:graphicData>
            </a:graphic>
          </wp:inline>
        </w:drawing>
      </w:r>
    </w:p>
    <w:p w14:paraId="6EBEFF9E" w14:textId="77777777" w:rsidR="00845EB5" w:rsidRPr="00980ABC" w:rsidRDefault="00845EB5" w:rsidP="00845EB5">
      <w:pPr>
        <w:pStyle w:val="Caption"/>
      </w:pPr>
      <w:bookmarkStart w:id="62" w:name="_Ref517012962"/>
      <w:r w:rsidRPr="00980ABC">
        <w:t xml:space="preserve">Figure </w:t>
      </w:r>
      <w:r w:rsidRPr="00980ABC">
        <w:rPr>
          <w:noProof/>
        </w:rPr>
        <w:fldChar w:fldCharType="begin"/>
      </w:r>
      <w:r w:rsidRPr="00980ABC">
        <w:rPr>
          <w:noProof/>
        </w:rPr>
        <w:instrText xml:space="preserve"> STYLEREF 1 \s </w:instrText>
      </w:r>
      <w:r w:rsidRPr="00980ABC">
        <w:rPr>
          <w:noProof/>
        </w:rPr>
        <w:fldChar w:fldCharType="separate"/>
      </w:r>
      <w:r w:rsidRPr="00980ABC">
        <w:rPr>
          <w:noProof/>
        </w:rPr>
        <w:t>12</w:t>
      </w:r>
      <w:r w:rsidRPr="00980ABC">
        <w:rPr>
          <w:noProof/>
        </w:rPr>
        <w:fldChar w:fldCharType="end"/>
      </w:r>
      <w:r w:rsidRPr="00980ABC">
        <w:t>.</w:t>
      </w:r>
      <w:r w:rsidRPr="00980ABC">
        <w:rPr>
          <w:noProof/>
        </w:rPr>
        <w:fldChar w:fldCharType="begin"/>
      </w:r>
      <w:r w:rsidRPr="00980ABC">
        <w:rPr>
          <w:noProof/>
        </w:rPr>
        <w:instrText xml:space="preserve"> SEQ Figure \* ARABIC \s 1 </w:instrText>
      </w:r>
      <w:r w:rsidRPr="00980ABC">
        <w:rPr>
          <w:noProof/>
        </w:rPr>
        <w:fldChar w:fldCharType="separate"/>
      </w:r>
      <w:r w:rsidRPr="00980ABC">
        <w:rPr>
          <w:noProof/>
        </w:rPr>
        <w:t>2</w:t>
      </w:r>
      <w:r w:rsidRPr="00980ABC">
        <w:rPr>
          <w:noProof/>
        </w:rPr>
        <w:fldChar w:fldCharType="end"/>
      </w:r>
      <w:r w:rsidRPr="00980ABC">
        <w:t xml:space="preserve">: Population-weighted annual </w:t>
      </w:r>
      <w:r>
        <w:t xml:space="preserve">country-wide </w:t>
      </w:r>
      <w:r w:rsidRPr="00980ABC">
        <w:t xml:space="preserve">mean concentration of </w:t>
      </w:r>
      <w:r w:rsidRPr="00766994">
        <w:t>PM</w:t>
      </w:r>
      <w:r w:rsidRPr="00766994">
        <w:rPr>
          <w:vertAlign w:val="subscript"/>
        </w:rPr>
        <w:t>2.5</w:t>
      </w:r>
      <w:r>
        <w:rPr>
          <w:vertAlign w:val="subscript"/>
        </w:rPr>
        <w:t xml:space="preserve"> </w:t>
      </w:r>
      <w:r w:rsidRPr="00766994">
        <w:t>in 2016</w:t>
      </w:r>
    </w:p>
    <w:p w14:paraId="306148CF" w14:textId="77777777" w:rsidR="00845EB5" w:rsidRPr="00700950" w:rsidRDefault="00845EB5" w:rsidP="00845EB5">
      <w:pPr>
        <w:pStyle w:val="Caption"/>
      </w:pPr>
      <w:r>
        <w:t>This map</w:t>
      </w:r>
      <w:r w:rsidRPr="00F34424">
        <w:t xml:space="preserve"> combines data from satellite observations, surface monitors and an atmospheric chem</w:t>
      </w:r>
      <w:r w:rsidRPr="00781AB2">
        <w:t>i</w:t>
      </w:r>
      <w:r w:rsidRPr="00F34424">
        <w:t>stry and transport model.</w:t>
      </w:r>
    </w:p>
    <w:p w14:paraId="01620569" w14:textId="77777777" w:rsidR="007A17D0" w:rsidRDefault="00845EB5" w:rsidP="00375A5D">
      <w:pPr>
        <w:pStyle w:val="Heading4"/>
        <w:rPr>
          <w:b w:val="0"/>
        </w:rPr>
      </w:pPr>
      <w:r w:rsidRPr="007A17D0">
        <w:rPr>
          <w:b w:val="0"/>
          <w:i/>
        </w:rPr>
        <w:lastRenderedPageBreak/>
        <w:t xml:space="preserve">Source: </w:t>
      </w:r>
      <w:r w:rsidRPr="007A17D0">
        <w:rPr>
          <w:b w:val="0"/>
        </w:rPr>
        <w:t xml:space="preserve">Adapted from Health Effects Institute (2017); </w:t>
      </w:r>
      <w:proofErr w:type="spellStart"/>
      <w:r w:rsidRPr="007A17D0">
        <w:rPr>
          <w:b w:val="0"/>
        </w:rPr>
        <w:t>Shaddick</w:t>
      </w:r>
      <w:proofErr w:type="spellEnd"/>
      <w:r w:rsidRPr="007A17D0">
        <w:rPr>
          <w:b w:val="0"/>
        </w:rPr>
        <w:t xml:space="preserve"> </w:t>
      </w:r>
      <w:r w:rsidRPr="007A17D0">
        <w:rPr>
          <w:b w:val="0"/>
          <w:i/>
        </w:rPr>
        <w:t>et al.</w:t>
      </w:r>
      <w:r w:rsidRPr="007A17D0">
        <w:rPr>
          <w:b w:val="0"/>
        </w:rPr>
        <w:t xml:space="preserve"> (2018).</w:t>
      </w:r>
      <w:bookmarkStart w:id="63" w:name="_1ci93xb" w:colFirst="0" w:colLast="0"/>
      <w:bookmarkEnd w:id="62"/>
      <w:bookmarkEnd w:id="63"/>
    </w:p>
    <w:p w14:paraId="75166956" w14:textId="77777777" w:rsidR="007A17D0" w:rsidRDefault="00F32F98" w:rsidP="007A17D0">
      <w:pPr>
        <w:pStyle w:val="Heading4"/>
      </w:pPr>
      <w:r w:rsidRPr="007A17D0">
        <w:t xml:space="preserve">Policy </w:t>
      </w:r>
      <w:r w:rsidR="003E15B1" w:rsidRPr="007A17D0">
        <w:t>r</w:t>
      </w:r>
      <w:r w:rsidRPr="007A17D0">
        <w:t>elevance/</w:t>
      </w:r>
      <w:r w:rsidR="003E15B1" w:rsidRPr="007A17D0">
        <w:t>c</w:t>
      </w:r>
      <w:r w:rsidRPr="007A17D0">
        <w:t xml:space="preserve">ausal </w:t>
      </w:r>
      <w:r w:rsidR="003E15B1" w:rsidRPr="007A17D0">
        <w:t>c</w:t>
      </w:r>
      <w:r w:rsidRPr="007A17D0">
        <w:t>hain</w:t>
      </w:r>
    </w:p>
    <w:p w14:paraId="465B124D" w14:textId="01C4C717" w:rsidR="00F340B7" w:rsidRPr="007A17D0" w:rsidRDefault="00F32F98" w:rsidP="007A17D0">
      <w:pPr>
        <w:pStyle w:val="Heading4"/>
        <w:rPr>
          <w:b w:val="0"/>
        </w:rPr>
      </w:pPr>
      <w:r w:rsidRPr="007A17D0">
        <w:rPr>
          <w:b w:val="0"/>
        </w:rPr>
        <w:t>PM</w:t>
      </w:r>
      <w:r w:rsidRPr="007A17D0">
        <w:rPr>
          <w:b w:val="0"/>
          <w:vertAlign w:val="subscript"/>
        </w:rPr>
        <w:t>2.5</w:t>
      </w:r>
      <w:r w:rsidRPr="007A17D0">
        <w:rPr>
          <w:b w:val="0"/>
        </w:rPr>
        <w:t xml:space="preserve"> concentrations are state variables that are driven by </w:t>
      </w:r>
      <w:r w:rsidR="00F340B7" w:rsidRPr="007A17D0">
        <w:rPr>
          <w:b w:val="0"/>
        </w:rPr>
        <w:t>emission</w:t>
      </w:r>
      <w:r w:rsidRPr="007A17D0">
        <w:rPr>
          <w:b w:val="0"/>
        </w:rPr>
        <w:t>s of pollutants, but also by meteorol</w:t>
      </w:r>
      <w:r w:rsidR="00F340B7" w:rsidRPr="007A17D0">
        <w:rPr>
          <w:b w:val="0"/>
        </w:rPr>
        <w:t>ogy</w:t>
      </w:r>
      <w:r w:rsidRPr="007A17D0">
        <w:rPr>
          <w:b w:val="0"/>
        </w:rPr>
        <w:t xml:space="preserve"> and climate. PM</w:t>
      </w:r>
      <w:r w:rsidRPr="007A17D0">
        <w:rPr>
          <w:b w:val="0"/>
          <w:vertAlign w:val="subscript"/>
        </w:rPr>
        <w:t>2.5</w:t>
      </w:r>
      <w:r w:rsidRPr="007A17D0">
        <w:rPr>
          <w:b w:val="0"/>
        </w:rPr>
        <w:t xml:space="preserve"> is directly </w:t>
      </w:r>
      <w:r w:rsidR="00F340B7" w:rsidRPr="007A17D0">
        <w:rPr>
          <w:b w:val="0"/>
        </w:rPr>
        <w:t>emit</w:t>
      </w:r>
      <w:r w:rsidRPr="007A17D0">
        <w:rPr>
          <w:b w:val="0"/>
        </w:rPr>
        <w:t xml:space="preserve">ted but also formed in the atmosphere from </w:t>
      </w:r>
      <w:r w:rsidR="00F340B7" w:rsidRPr="007A17D0">
        <w:rPr>
          <w:b w:val="0"/>
        </w:rPr>
        <w:t>emission</w:t>
      </w:r>
      <w:r w:rsidRPr="007A17D0">
        <w:rPr>
          <w:b w:val="0"/>
        </w:rPr>
        <w:t>s of precursor gases. Policies impact PM</w:t>
      </w:r>
      <w:r w:rsidRPr="007A17D0">
        <w:rPr>
          <w:b w:val="0"/>
          <w:vertAlign w:val="subscript"/>
        </w:rPr>
        <w:t>2.5</w:t>
      </w:r>
      <w:r w:rsidRPr="007A17D0">
        <w:rPr>
          <w:b w:val="0"/>
        </w:rPr>
        <w:t xml:space="preserve"> concentrations by changing </w:t>
      </w:r>
      <w:r w:rsidR="00F340B7" w:rsidRPr="007A17D0">
        <w:rPr>
          <w:b w:val="0"/>
        </w:rPr>
        <w:t>emission</w:t>
      </w:r>
      <w:r w:rsidRPr="007A17D0">
        <w:rPr>
          <w:b w:val="0"/>
        </w:rPr>
        <w:t>s and, over the long term, climate. PM</w:t>
      </w:r>
      <w:r w:rsidRPr="007A17D0">
        <w:rPr>
          <w:b w:val="0"/>
          <w:vertAlign w:val="subscript"/>
        </w:rPr>
        <w:t>2.5</w:t>
      </w:r>
      <w:r w:rsidRPr="007A17D0">
        <w:rPr>
          <w:b w:val="0"/>
        </w:rPr>
        <w:t xml:space="preserve"> concentrations are related to exposures and impacts on human health, ecosystems, visibility and </w:t>
      </w:r>
      <w:r w:rsidR="003E15B1" w:rsidRPr="007A17D0">
        <w:rPr>
          <w:b w:val="0"/>
        </w:rPr>
        <w:t>short</w:t>
      </w:r>
      <w:r w:rsidRPr="007A17D0">
        <w:rPr>
          <w:b w:val="0"/>
        </w:rPr>
        <w:t>-term climate forcing.</w:t>
      </w:r>
    </w:p>
    <w:p w14:paraId="2ED9E665" w14:textId="77777777" w:rsidR="00F340B7" w:rsidRPr="004A1A26" w:rsidRDefault="00F32F98" w:rsidP="00B477F5">
      <w:r w:rsidRPr="004A1A26">
        <w:t>Ambient PM</w:t>
      </w:r>
      <w:r w:rsidRPr="004A1A26">
        <w:rPr>
          <w:vertAlign w:val="subscript"/>
        </w:rPr>
        <w:t>2.5</w:t>
      </w:r>
      <w:r w:rsidRPr="004A1A26">
        <w:t xml:space="preserve"> concentrations can be monitored at surface locations </w:t>
      </w:r>
      <w:proofErr w:type="gramStart"/>
      <w:r w:rsidRPr="004A1A26">
        <w:t>and also</w:t>
      </w:r>
      <w:proofErr w:type="gramEnd"/>
      <w:r w:rsidRPr="004A1A26">
        <w:t xml:space="preserve"> estimated from observations from satellite-based instruments. The best characterization of the distribution of PM</w:t>
      </w:r>
      <w:r w:rsidRPr="004A1A26">
        <w:rPr>
          <w:vertAlign w:val="subscript"/>
        </w:rPr>
        <w:t>2.5</w:t>
      </w:r>
      <w:r w:rsidRPr="004A1A26">
        <w:t xml:space="preserve"> concentrations</w:t>
      </w:r>
      <w:r w:rsidR="00C30897" w:rsidRPr="004A1A26">
        <w:t xml:space="preserve"> is</w:t>
      </w:r>
      <w:r w:rsidRPr="004A1A26">
        <w:t xml:space="preserve"> developed by combining information from surface observations, satellite observations and computer models. The resulting concentration field can be combined with the population distribution to estimate the population-weighted annual average.</w:t>
      </w:r>
    </w:p>
    <w:p w14:paraId="78688309" w14:textId="77777777" w:rsidR="00F340B7" w:rsidRPr="004A1A26" w:rsidRDefault="00F32F98" w:rsidP="00B477F5">
      <w:r w:rsidRPr="004A1A26">
        <w:t>Exposure to PM</w:t>
      </w:r>
      <w:r w:rsidRPr="004A1A26">
        <w:rPr>
          <w:vertAlign w:val="subscript"/>
        </w:rPr>
        <w:t>2.5</w:t>
      </w:r>
      <w:r w:rsidRPr="004A1A26">
        <w:t xml:space="preserve"> concentrations leads to a variety of human health impacts</w:t>
      </w:r>
      <w:r w:rsidR="003E15B1" w:rsidRPr="004A1A26">
        <w:t>,</w:t>
      </w:r>
      <w:r w:rsidRPr="004A1A26">
        <w:t xml:space="preserve"> including premature mortality. Weighting the average concentration by population distribution creates an indicator that is focused on the concentrations to which people are </w:t>
      </w:r>
      <w:r w:rsidR="00F340B7" w:rsidRPr="004A1A26">
        <w:t>expose</w:t>
      </w:r>
      <w:r w:rsidRPr="004A1A26">
        <w:t>d.</w:t>
      </w:r>
    </w:p>
    <w:p w14:paraId="5C77E202" w14:textId="77777777" w:rsidR="00F340B7" w:rsidRPr="004A1A26" w:rsidRDefault="00F32F98" w:rsidP="00B477F5">
      <w:r w:rsidRPr="004A1A26">
        <w:t>Emissions of PM</w:t>
      </w:r>
      <w:r w:rsidRPr="004A1A26">
        <w:rPr>
          <w:vertAlign w:val="subscript"/>
        </w:rPr>
        <w:t>2.5</w:t>
      </w:r>
      <w:r w:rsidRPr="004A1A26">
        <w:t xml:space="preserve"> and its precursors come from a wide variety of anthrop</w:t>
      </w:r>
      <w:r w:rsidR="00F340B7" w:rsidRPr="004A1A26">
        <w:t>ogen</w:t>
      </w:r>
      <w:r w:rsidRPr="004A1A26">
        <w:t>ic sources</w:t>
      </w:r>
      <w:r w:rsidR="003E15B1" w:rsidRPr="004A1A26">
        <w:t>,</w:t>
      </w:r>
      <w:r w:rsidRPr="004A1A26">
        <w:t xml:space="preserve"> including electricity generation, transportation, residential combustion, industrial processes and agricultural burning. These sources can be managed using a wide variety of policy approaches.</w:t>
      </w:r>
    </w:p>
    <w:p w14:paraId="7E265CBC" w14:textId="77777777" w:rsidR="00F340B7" w:rsidRPr="004A1A26" w:rsidRDefault="00F32F98" w:rsidP="00375A5D">
      <w:pPr>
        <w:pStyle w:val="Heading4"/>
        <w:rPr>
          <w:i/>
        </w:rPr>
      </w:pPr>
      <w:r w:rsidRPr="004A1A26">
        <w:t xml:space="preserve">Other </w:t>
      </w:r>
      <w:r w:rsidR="003E15B1" w:rsidRPr="004A1A26">
        <w:t>f</w:t>
      </w:r>
      <w:r w:rsidRPr="004A1A26">
        <w:t>actors</w:t>
      </w:r>
    </w:p>
    <w:p w14:paraId="20C09BB9" w14:textId="77777777" w:rsidR="00F340B7" w:rsidRPr="004A1A26" w:rsidRDefault="00F32F98" w:rsidP="00B477F5">
      <w:r w:rsidRPr="004A1A26">
        <w:t>PM</w:t>
      </w:r>
      <w:r w:rsidRPr="004A1A26">
        <w:rPr>
          <w:vertAlign w:val="subscript"/>
        </w:rPr>
        <w:t>2.5</w:t>
      </w:r>
      <w:r w:rsidRPr="004A1A26">
        <w:t xml:space="preserve"> concentrations are also affected by </w:t>
      </w:r>
      <w:r w:rsidR="00EF2F6C" w:rsidRPr="004A1A26">
        <w:t>weather</w:t>
      </w:r>
      <w:r w:rsidRPr="004A1A26">
        <w:t xml:space="preserve">, wildfires, </w:t>
      </w:r>
      <w:r w:rsidR="00F340B7" w:rsidRPr="004A1A26">
        <w:t>windblown</w:t>
      </w:r>
      <w:r w:rsidRPr="004A1A26">
        <w:t xml:space="preserve"> dust and volcanoes. </w:t>
      </w:r>
      <w:r w:rsidR="00EF2F6C" w:rsidRPr="004A1A26">
        <w:t xml:space="preserve">Weather </w:t>
      </w:r>
      <w:r w:rsidRPr="004A1A26">
        <w:t xml:space="preserve">is subject to significant </w:t>
      </w:r>
      <w:r w:rsidR="00F340B7" w:rsidRPr="004A1A26">
        <w:t>inter-annual</w:t>
      </w:r>
      <w:r w:rsidRPr="004A1A26">
        <w:t xml:space="preserve"> variability, decadal cycles and long-term trends. The contribution</w:t>
      </w:r>
      <w:r w:rsidR="004F323A" w:rsidRPr="004A1A26">
        <w:t>s</w:t>
      </w:r>
      <w:r w:rsidRPr="004A1A26">
        <w:t xml:space="preserve"> of wildfires, </w:t>
      </w:r>
      <w:r w:rsidR="00F340B7" w:rsidRPr="004A1A26">
        <w:t>windblown</w:t>
      </w:r>
      <w:r w:rsidRPr="004A1A26">
        <w:t xml:space="preserve"> dust and volcanoes also vary from year to year. These influences must be accounted for when attributing observed trends to the impact of control policies.</w:t>
      </w:r>
    </w:p>
    <w:p w14:paraId="1822D2C3" w14:textId="1C4C6119" w:rsidR="00F340B7" w:rsidRPr="004A1A26" w:rsidRDefault="00F32F98" w:rsidP="00B477F5">
      <w:r w:rsidRPr="004A1A26">
        <w:t>Observed trends can be quantitatively apportioned to changes in anthrop</w:t>
      </w:r>
      <w:r w:rsidR="00F340B7" w:rsidRPr="004A1A26">
        <w:t>ogen</w:t>
      </w:r>
      <w:r w:rsidRPr="004A1A26">
        <w:t xml:space="preserve">ic </w:t>
      </w:r>
      <w:r w:rsidR="00F340B7" w:rsidRPr="004A1A26">
        <w:t>emission</w:t>
      </w:r>
      <w:r w:rsidRPr="004A1A26">
        <w:t xml:space="preserve">s, natural </w:t>
      </w:r>
      <w:r w:rsidR="00F340B7" w:rsidRPr="004A1A26">
        <w:t>emission</w:t>
      </w:r>
      <w:r w:rsidRPr="004A1A26">
        <w:t xml:space="preserve">s and </w:t>
      </w:r>
      <w:r w:rsidR="00EF2F6C" w:rsidRPr="004A1A26">
        <w:t>weather</w:t>
      </w:r>
      <w:r w:rsidR="004F323A" w:rsidRPr="004A1A26">
        <w:t>,</w:t>
      </w:r>
      <w:r w:rsidR="004735C0">
        <w:t xml:space="preserve"> </w:t>
      </w:r>
      <w:r w:rsidRPr="004A1A26">
        <w:t xml:space="preserve">using computer models of atmospheric </w:t>
      </w:r>
      <w:r w:rsidR="00F340B7" w:rsidRPr="004A1A26">
        <w:t>chemi</w:t>
      </w:r>
      <w:r w:rsidRPr="004A1A26">
        <w:t>stry and dynamics. However, the uncertainty in model estimates can be as large as the impact of a change in policy.</w:t>
      </w:r>
    </w:p>
    <w:p w14:paraId="0AFC526B" w14:textId="2361B9FB" w:rsidR="00F340B7" w:rsidRPr="004A1A26" w:rsidRDefault="00EB5EAE" w:rsidP="00375A5D">
      <w:pPr>
        <w:pStyle w:val="Heading4"/>
        <w:rPr>
          <w:i/>
        </w:rPr>
      </w:pPr>
      <w:r>
        <w:t>P</w:t>
      </w:r>
      <w:r w:rsidR="004F323A" w:rsidRPr="004A1A26">
        <w:t>ossible a</w:t>
      </w:r>
      <w:r w:rsidR="00F32F98" w:rsidRPr="004A1A26">
        <w:t>lternatives</w:t>
      </w:r>
    </w:p>
    <w:p w14:paraId="0CF2829B" w14:textId="766EE1D7" w:rsidR="00C02B0B" w:rsidRPr="004A1A26" w:rsidRDefault="00F32F98" w:rsidP="00B477F5">
      <w:r w:rsidRPr="004A1A26">
        <w:t>PM</w:t>
      </w:r>
      <w:r w:rsidRPr="004A1A26">
        <w:rPr>
          <w:vertAlign w:val="subscript"/>
        </w:rPr>
        <w:t>2.5</w:t>
      </w:r>
      <w:r w:rsidR="004735C0" w:rsidRPr="004735C0">
        <w:t xml:space="preserve"> </w:t>
      </w:r>
      <w:r w:rsidRPr="004A1A26">
        <w:t xml:space="preserve">concentrations are </w:t>
      </w:r>
      <w:r w:rsidR="00F340B7" w:rsidRPr="004A1A26">
        <w:t>well</w:t>
      </w:r>
      <w:r w:rsidR="004F323A" w:rsidRPr="004A1A26">
        <w:t>-</w:t>
      </w:r>
      <w:r w:rsidRPr="004A1A26">
        <w:t>accepted metrics for air pollution. WHO has established a guideline value and interim targets for maximum annual average PM</w:t>
      </w:r>
      <w:r w:rsidRPr="004A1A26">
        <w:rPr>
          <w:vertAlign w:val="subscript"/>
        </w:rPr>
        <w:t>2.5</w:t>
      </w:r>
      <w:r w:rsidR="004735C0" w:rsidRPr="004735C0">
        <w:t xml:space="preserve"> </w:t>
      </w:r>
      <w:r w:rsidRPr="004A1A26">
        <w:t>concentrations.</w:t>
      </w:r>
      <w:r w:rsidR="004735C0">
        <w:t xml:space="preserve"> </w:t>
      </w:r>
      <w:r w:rsidR="000B60DA" w:rsidRPr="004A1A26">
        <w:t>Under the SDGs, the population-weighted annual mean level of PM</w:t>
      </w:r>
      <w:r w:rsidR="000B60DA" w:rsidRPr="004A1A26">
        <w:rPr>
          <w:vertAlign w:val="subscript"/>
        </w:rPr>
        <w:t>2.5</w:t>
      </w:r>
      <w:r w:rsidR="000B60DA" w:rsidRPr="004A1A26">
        <w:t xml:space="preserve"> or PM</w:t>
      </w:r>
      <w:r w:rsidR="000B60DA" w:rsidRPr="004A1A26">
        <w:rPr>
          <w:vertAlign w:val="subscript"/>
        </w:rPr>
        <w:t>10</w:t>
      </w:r>
      <w:r w:rsidR="000B60DA" w:rsidRPr="004A1A26">
        <w:t xml:space="preserve"> was selected as an indicator of progress towards sustainable cities.</w:t>
      </w:r>
      <w:r w:rsidR="004735C0">
        <w:t xml:space="preserve"> </w:t>
      </w:r>
      <w:r w:rsidR="003E4072" w:rsidRPr="004A1A26">
        <w:t xml:space="preserve">Weighting concentrations by </w:t>
      </w:r>
      <w:r w:rsidR="00C02B0B" w:rsidRPr="004A1A26">
        <w:t xml:space="preserve">the </w:t>
      </w:r>
      <w:r w:rsidR="003E4072" w:rsidRPr="004A1A26">
        <w:t xml:space="preserve">population exposed focuses the metric on </w:t>
      </w:r>
      <w:r w:rsidR="00C02B0B" w:rsidRPr="004A1A26">
        <w:t xml:space="preserve">the overall impact on the population. </w:t>
      </w:r>
      <w:r w:rsidR="003E4072" w:rsidRPr="004A1A26">
        <w:t xml:space="preserve">However, </w:t>
      </w:r>
      <w:r w:rsidR="00C02B0B" w:rsidRPr="004A1A26">
        <w:t xml:space="preserve">a population weighted average may mask the number of </w:t>
      </w:r>
      <w:r w:rsidR="00C02B0B" w:rsidRPr="004A1A26">
        <w:lastRenderedPageBreak/>
        <w:t>people exposed to the most extreme air pollution levels. Thus, absolute concentrations provide another alternative</w:t>
      </w:r>
      <w:r w:rsidR="000B60DA" w:rsidRPr="004A1A26">
        <w:t xml:space="preserve"> metric</w:t>
      </w:r>
      <w:r w:rsidR="00C02B0B" w:rsidRPr="004A1A26">
        <w:t xml:space="preserve">. </w:t>
      </w:r>
    </w:p>
    <w:p w14:paraId="7D160F37" w14:textId="16DAF8D5" w:rsidR="00F340B7" w:rsidRPr="004A1A26" w:rsidRDefault="00F32F98" w:rsidP="00B477F5">
      <w:bookmarkStart w:id="64" w:name="_3whwml4" w:colFirst="0" w:colLast="0"/>
      <w:bookmarkEnd w:id="64"/>
      <w:r w:rsidRPr="004A1A26">
        <w:t xml:space="preserve">Direct </w:t>
      </w:r>
      <w:r w:rsidR="00F340B7" w:rsidRPr="004A1A26">
        <w:t>emission</w:t>
      </w:r>
      <w:r w:rsidRPr="004A1A26">
        <w:t>s of PM</w:t>
      </w:r>
      <w:r w:rsidRPr="004A1A26">
        <w:rPr>
          <w:vertAlign w:val="subscript"/>
        </w:rPr>
        <w:t>2.5</w:t>
      </w:r>
      <w:r w:rsidRPr="004A1A26">
        <w:t xml:space="preserve"> and its gaseous precursors (including SO</w:t>
      </w:r>
      <w:r w:rsidRPr="004A1A26">
        <w:rPr>
          <w:vertAlign w:val="subscript"/>
        </w:rPr>
        <w:t>2</w:t>
      </w:r>
      <w:r w:rsidRPr="004A1A26">
        <w:t>, NO</w:t>
      </w:r>
      <w:r w:rsidRPr="004A1A26">
        <w:rPr>
          <w:vertAlign w:val="subscript"/>
        </w:rPr>
        <w:t>X</w:t>
      </w:r>
      <w:r w:rsidR="004735C0" w:rsidRPr="004735C0">
        <w:t xml:space="preserve"> </w:t>
      </w:r>
      <w:r w:rsidR="00C30897" w:rsidRPr="004A1A26">
        <w:t>and N</w:t>
      </w:r>
      <w:r w:rsidRPr="004A1A26">
        <w:t>H</w:t>
      </w:r>
      <w:r w:rsidRPr="004A1A26">
        <w:rPr>
          <w:vertAlign w:val="subscript"/>
        </w:rPr>
        <w:t>3</w:t>
      </w:r>
      <w:r w:rsidRPr="004A1A26">
        <w:t xml:space="preserve">) are alternative indicators. Emissions are more directly affected by policy changes, but more distantly related to health impacts. For many sources, measurement of </w:t>
      </w:r>
      <w:r w:rsidR="00F340B7" w:rsidRPr="004A1A26">
        <w:t>emission</w:t>
      </w:r>
      <w:r w:rsidRPr="004A1A26">
        <w:t xml:space="preserve">s </w:t>
      </w:r>
      <w:r w:rsidR="00C30897" w:rsidRPr="004A1A26">
        <w:t xml:space="preserve">is </w:t>
      </w:r>
      <w:r w:rsidRPr="004A1A26">
        <w:t>impractical</w:t>
      </w:r>
      <w:r w:rsidR="004F323A" w:rsidRPr="004A1A26">
        <w:t>,</w:t>
      </w:r>
      <w:r w:rsidRPr="004A1A26">
        <w:t xml:space="preserve"> and estimates are highly uncertain.</w:t>
      </w:r>
    </w:p>
    <w:p w14:paraId="5252B933" w14:textId="5D2C5DF7" w:rsidR="00F340B7" w:rsidRPr="004A1A26" w:rsidRDefault="00F32F98" w:rsidP="00364053">
      <w:pPr>
        <w:pStyle w:val="Heading3"/>
      </w:pPr>
      <w:bookmarkStart w:id="65" w:name="_Toc500334342"/>
      <w:bookmarkStart w:id="66" w:name="_Toc516842474"/>
      <w:r w:rsidRPr="004A1A26">
        <w:t>Indicator 2:</w:t>
      </w:r>
      <w:r w:rsidR="00113D17">
        <w:t xml:space="preserve"> </w:t>
      </w:r>
      <w:r w:rsidRPr="004A1A26">
        <w:t xml:space="preserve">Emissions of </w:t>
      </w:r>
      <w:r w:rsidR="004F323A" w:rsidRPr="004A1A26">
        <w:t>o</w:t>
      </w:r>
      <w:r w:rsidRPr="004A1A26">
        <w:t>zone</w:t>
      </w:r>
      <w:r w:rsidR="004F323A" w:rsidRPr="004A1A26">
        <w:t>-d</w:t>
      </w:r>
      <w:r w:rsidRPr="004A1A26">
        <w:t xml:space="preserve">epleting </w:t>
      </w:r>
      <w:r w:rsidR="004F323A" w:rsidRPr="004A1A26">
        <w:t>s</w:t>
      </w:r>
      <w:r w:rsidRPr="004A1A26">
        <w:t>ubstances</w:t>
      </w:r>
      <w:bookmarkEnd w:id="65"/>
      <w:bookmarkEnd w:id="66"/>
    </w:p>
    <w:p w14:paraId="4A97BC0F" w14:textId="6988C371" w:rsidR="00F340B7" w:rsidRPr="004A1A26" w:rsidRDefault="00F32F98" w:rsidP="00375A5D">
      <w:pPr>
        <w:pStyle w:val="Heading4"/>
        <w:rPr>
          <w:i/>
        </w:rPr>
      </w:pPr>
      <w:r w:rsidRPr="004A1A26">
        <w:t>Indicator</w:t>
      </w:r>
      <w:r w:rsidR="004735C0">
        <w:t xml:space="preserve"> </w:t>
      </w:r>
      <w:r w:rsidR="004F323A" w:rsidRPr="004A1A26">
        <w:t>g</w:t>
      </w:r>
      <w:r w:rsidRPr="004A1A26">
        <w:t>raphic</w:t>
      </w:r>
    </w:p>
    <w:p w14:paraId="3A165FD2" w14:textId="6572542D" w:rsidR="00F340B7" w:rsidRPr="004A1A26" w:rsidRDefault="007F7F78" w:rsidP="00B477F5">
      <w:pPr>
        <w:pStyle w:val="Caption1"/>
      </w:pPr>
      <w:bookmarkStart w:id="67" w:name="_2bn6wsx" w:colFirst="0" w:colLast="0"/>
      <w:bookmarkStart w:id="68" w:name="_Toc500347142"/>
      <w:bookmarkEnd w:id="67"/>
      <w:r>
        <w:rPr>
          <w:noProof/>
        </w:rPr>
        <w:drawing>
          <wp:inline distT="0" distB="0" distL="0" distR="0" wp14:anchorId="6E142D0B" wp14:editId="75BA55CC">
            <wp:extent cx="5731510" cy="26054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2.3 Ozone-depleting substance consumption in ozone.jpg"/>
                    <pic:cNvPicPr/>
                  </pic:nvPicPr>
                  <pic:blipFill>
                    <a:blip r:embed="rId15"/>
                    <a:stretch>
                      <a:fillRect/>
                    </a:stretch>
                  </pic:blipFill>
                  <pic:spPr>
                    <a:xfrm>
                      <a:off x="0" y="0"/>
                      <a:ext cx="5731510" cy="2605405"/>
                    </a:xfrm>
                    <a:prstGeom prst="rect">
                      <a:avLst/>
                    </a:prstGeom>
                  </pic:spPr>
                </pic:pic>
              </a:graphicData>
            </a:graphic>
          </wp:inline>
        </w:drawing>
      </w:r>
    </w:p>
    <w:bookmarkEnd w:id="68"/>
    <w:p w14:paraId="0766C300" w14:textId="77777777" w:rsidR="00197208" w:rsidRPr="004A1A26" w:rsidRDefault="002A04F6" w:rsidP="00113D17">
      <w:pPr>
        <w:pStyle w:val="Caption"/>
      </w:pPr>
      <w:r w:rsidRPr="004A1A26">
        <w:t xml:space="preserve">Figure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Pr="004A1A26">
        <w:t>.</w:t>
      </w:r>
      <w:r w:rsidR="00350B00" w:rsidRPr="004A1A26">
        <w:rPr>
          <w:noProof/>
        </w:rPr>
        <w:fldChar w:fldCharType="begin"/>
      </w:r>
      <w:r w:rsidR="00D169A0" w:rsidRPr="004A1A26">
        <w:rPr>
          <w:noProof/>
        </w:rPr>
        <w:instrText xml:space="preserve"> SEQ Figure \* ARABIC \s 1 </w:instrText>
      </w:r>
      <w:r w:rsidR="00350B00" w:rsidRPr="004A1A26">
        <w:rPr>
          <w:noProof/>
        </w:rPr>
        <w:fldChar w:fldCharType="separate"/>
      </w:r>
      <w:r w:rsidR="00430786" w:rsidRPr="004A1A26">
        <w:rPr>
          <w:noProof/>
        </w:rPr>
        <w:t>3</w:t>
      </w:r>
      <w:r w:rsidR="00350B00" w:rsidRPr="004A1A26">
        <w:rPr>
          <w:noProof/>
        </w:rPr>
        <w:fldChar w:fldCharType="end"/>
      </w:r>
      <w:r w:rsidRPr="004A1A26">
        <w:t>: Ozone</w:t>
      </w:r>
      <w:r w:rsidR="004F323A" w:rsidRPr="004A1A26">
        <w:t>-d</w:t>
      </w:r>
      <w:r w:rsidRPr="004A1A26">
        <w:t xml:space="preserve">epleting </w:t>
      </w:r>
      <w:r w:rsidR="004F323A" w:rsidRPr="004A1A26">
        <w:t>s</w:t>
      </w:r>
      <w:r w:rsidRPr="004A1A26">
        <w:t xml:space="preserve">ubstance </w:t>
      </w:r>
      <w:r w:rsidR="004F323A" w:rsidRPr="004A1A26">
        <w:t>c</w:t>
      </w:r>
      <w:r w:rsidRPr="004A1A26">
        <w:t xml:space="preserve">onsumption in </w:t>
      </w:r>
      <w:r w:rsidR="004F323A" w:rsidRPr="004A1A26">
        <w:t>o</w:t>
      </w:r>
      <w:r w:rsidR="00761440" w:rsidRPr="004A1A26">
        <w:t xml:space="preserve">zone </w:t>
      </w:r>
      <w:r w:rsidR="004F323A" w:rsidRPr="004A1A26">
        <w:t>d</w:t>
      </w:r>
      <w:r w:rsidR="00761440" w:rsidRPr="004A1A26">
        <w:t xml:space="preserve">epletion </w:t>
      </w:r>
      <w:r w:rsidR="004F323A" w:rsidRPr="004A1A26">
        <w:t>t</w:t>
      </w:r>
      <w:r w:rsidR="00761440" w:rsidRPr="004A1A26">
        <w:t xml:space="preserve">ons in </w:t>
      </w:r>
      <w:r w:rsidR="00F340B7" w:rsidRPr="004A1A26">
        <w:t>2016</w:t>
      </w:r>
    </w:p>
    <w:p w14:paraId="0C5383F6" w14:textId="10A63C90" w:rsidR="00F340B7" w:rsidRPr="004A1A26" w:rsidRDefault="00F340B7" w:rsidP="00113D17">
      <w:pPr>
        <w:pStyle w:val="Caption"/>
        <w:rPr>
          <w:sz w:val="20"/>
          <w:szCs w:val="20"/>
        </w:rPr>
      </w:pPr>
      <w:r w:rsidRPr="004A1A26">
        <w:rPr>
          <w:i/>
          <w:sz w:val="20"/>
          <w:szCs w:val="20"/>
        </w:rPr>
        <w:t>Source:</w:t>
      </w:r>
      <w:r w:rsidR="00113D17">
        <w:rPr>
          <w:i/>
          <w:sz w:val="20"/>
          <w:szCs w:val="20"/>
        </w:rPr>
        <w:t xml:space="preserve"> </w:t>
      </w:r>
      <w:r w:rsidR="00761440" w:rsidRPr="004A1A26">
        <w:rPr>
          <w:sz w:val="20"/>
          <w:szCs w:val="20"/>
        </w:rPr>
        <w:t xml:space="preserve">UNEP </w:t>
      </w:r>
      <w:r w:rsidR="00197208" w:rsidRPr="004A1A26">
        <w:rPr>
          <w:sz w:val="20"/>
          <w:szCs w:val="20"/>
        </w:rPr>
        <w:t>(</w:t>
      </w:r>
      <w:r w:rsidRPr="004A1A26">
        <w:rPr>
          <w:sz w:val="20"/>
          <w:szCs w:val="20"/>
        </w:rPr>
        <w:t>2017</w:t>
      </w:r>
      <w:r w:rsidR="004F323A" w:rsidRPr="004A1A26">
        <w:rPr>
          <w:sz w:val="20"/>
          <w:szCs w:val="20"/>
        </w:rPr>
        <w:t>)</w:t>
      </w:r>
    </w:p>
    <w:p w14:paraId="7AFA273D" w14:textId="77777777" w:rsidR="00F340B7" w:rsidRPr="004A1A26" w:rsidRDefault="00F32F98" w:rsidP="00375A5D">
      <w:pPr>
        <w:pStyle w:val="Heading4"/>
        <w:rPr>
          <w:i/>
        </w:rPr>
      </w:pPr>
      <w:r w:rsidRPr="004A1A26">
        <w:t xml:space="preserve">Policy </w:t>
      </w:r>
      <w:r w:rsidR="004F323A" w:rsidRPr="004A1A26">
        <w:t>r</w:t>
      </w:r>
      <w:r w:rsidRPr="004A1A26">
        <w:t>elevance/</w:t>
      </w:r>
      <w:r w:rsidR="004F323A" w:rsidRPr="004A1A26">
        <w:t>c</w:t>
      </w:r>
      <w:r w:rsidRPr="004A1A26">
        <w:t xml:space="preserve">ausal </w:t>
      </w:r>
      <w:r w:rsidR="004F323A" w:rsidRPr="004A1A26">
        <w:t>c</w:t>
      </w:r>
      <w:r w:rsidRPr="004A1A26">
        <w:t>hain</w:t>
      </w:r>
    </w:p>
    <w:p w14:paraId="69C05C2C" w14:textId="3EBEAB81" w:rsidR="00F340B7" w:rsidRPr="004A1A26" w:rsidRDefault="00F32F98" w:rsidP="00B477F5">
      <w:r w:rsidRPr="004A1A26">
        <w:t xml:space="preserve">The manufacture and use of ODSs lead to </w:t>
      </w:r>
      <w:r w:rsidR="00F340B7" w:rsidRPr="004A1A26">
        <w:t>emission</w:t>
      </w:r>
      <w:r w:rsidRPr="004A1A26">
        <w:t>s that affect the concentration of ozone in the stratosphere and, as a result, the level of ultraviolet (UV) radiation reaching the Earth</w:t>
      </w:r>
      <w:r w:rsidR="00F340B7" w:rsidRPr="004A1A26">
        <w:t>’</w:t>
      </w:r>
      <w:r w:rsidRPr="004A1A26">
        <w:t xml:space="preserve">s surface. Increases in UV exposure adversely affect human health and ecosystems. ODSs vary in the extent to which they deplete stratospheric ozone. The effectiveness of policies to limit the manufacture and use of ODSs can be measured using ODS </w:t>
      </w:r>
      <w:r w:rsidR="00F340B7" w:rsidRPr="004A1A26">
        <w:t>emission</w:t>
      </w:r>
      <w:r w:rsidRPr="004A1A26">
        <w:t>s estimates</w:t>
      </w:r>
      <w:r w:rsidR="004E7014" w:rsidRPr="004A1A26">
        <w:t xml:space="preserve"> weighted </w:t>
      </w:r>
      <w:r w:rsidR="00B4741A" w:rsidRPr="004A1A26">
        <w:t>by</w:t>
      </w:r>
      <w:r w:rsidR="004E7014" w:rsidRPr="004A1A26">
        <w:t xml:space="preserve"> the ozone</w:t>
      </w:r>
      <w:r w:rsidR="004F323A" w:rsidRPr="004A1A26">
        <w:t>-</w:t>
      </w:r>
      <w:r w:rsidR="004E7014" w:rsidRPr="004A1A26">
        <w:t xml:space="preserve">depleting potential </w:t>
      </w:r>
      <w:r w:rsidR="009D169C" w:rsidRPr="004A1A26">
        <w:t xml:space="preserve">(ODP) </w:t>
      </w:r>
      <w:r w:rsidR="004E7014" w:rsidRPr="004A1A26">
        <w:t>of each compound</w:t>
      </w:r>
      <w:r w:rsidR="004735C0">
        <w:t xml:space="preserve"> </w:t>
      </w:r>
      <w:r w:rsidR="005B4943" w:rsidRPr="004A1A26">
        <w:t>(</w:t>
      </w:r>
      <w:r w:rsidR="00F340B7" w:rsidRPr="004A1A26">
        <w:t>2014</w:t>
      </w:r>
      <w:r w:rsidR="005B4943" w:rsidRPr="004A1A26">
        <w:t>)</w:t>
      </w:r>
      <w:r w:rsidR="009D169C" w:rsidRPr="004A1A26">
        <w:t xml:space="preserve">.ODP-weighted ODS </w:t>
      </w:r>
      <w:r w:rsidR="00F340B7" w:rsidRPr="004A1A26">
        <w:t>emission</w:t>
      </w:r>
      <w:r w:rsidR="009D169C" w:rsidRPr="004A1A26">
        <w:t>s are reported to the Secretariat of the Vienna Convention and Montreal Protocol.</w:t>
      </w:r>
    </w:p>
    <w:p w14:paraId="139CFE7F" w14:textId="77777777" w:rsidR="00F340B7" w:rsidRPr="004A1A26" w:rsidRDefault="00F32F98" w:rsidP="00375A5D">
      <w:pPr>
        <w:pStyle w:val="Heading4"/>
        <w:rPr>
          <w:i/>
        </w:rPr>
      </w:pPr>
      <w:r w:rsidRPr="004A1A26">
        <w:t xml:space="preserve">Other </w:t>
      </w:r>
      <w:r w:rsidR="004F323A" w:rsidRPr="004A1A26">
        <w:t>f</w:t>
      </w:r>
      <w:r w:rsidRPr="004A1A26">
        <w:t>actors</w:t>
      </w:r>
    </w:p>
    <w:p w14:paraId="08DC00F1" w14:textId="77288847" w:rsidR="00F340B7" w:rsidRPr="004A1A26" w:rsidRDefault="00F32F98" w:rsidP="00B477F5">
      <w:r w:rsidRPr="004A1A26">
        <w:t xml:space="preserve">ODS </w:t>
      </w:r>
      <w:r w:rsidR="00F340B7" w:rsidRPr="004A1A26">
        <w:t>emission</w:t>
      </w:r>
      <w:r w:rsidRPr="004A1A26">
        <w:t xml:space="preserve">s are directly linked to the effectiveness of policies to </w:t>
      </w:r>
      <w:r w:rsidR="004735C0">
        <w:t xml:space="preserve">eliminate </w:t>
      </w:r>
      <w:r w:rsidRPr="004A1A26">
        <w:t>their manufacture, use and improper disposal.</w:t>
      </w:r>
    </w:p>
    <w:p w14:paraId="7B1CD6DE" w14:textId="4B39D51C" w:rsidR="00F340B7" w:rsidRPr="004A1A26" w:rsidRDefault="00F32F98" w:rsidP="00B477F5">
      <w:r w:rsidRPr="004A1A26">
        <w:t xml:space="preserve">The relationship between ODS </w:t>
      </w:r>
      <w:r w:rsidR="00F340B7" w:rsidRPr="004A1A26">
        <w:t>emission</w:t>
      </w:r>
      <w:r w:rsidRPr="004A1A26">
        <w:t>s, stratospheric ozone concentrations, UV exposures</w:t>
      </w:r>
      <w:r w:rsidR="004735C0">
        <w:t xml:space="preserve"> </w:t>
      </w:r>
      <w:r w:rsidRPr="004A1A26">
        <w:t xml:space="preserve">and health effects can be estimated using models which account for atmospheric </w:t>
      </w:r>
      <w:r w:rsidR="00F340B7" w:rsidRPr="004A1A26">
        <w:t>chemi</w:t>
      </w:r>
      <w:r w:rsidRPr="004A1A26">
        <w:t xml:space="preserve">stry and dynamics, exposure behaviours and population </w:t>
      </w:r>
      <w:r w:rsidRPr="004A1A26">
        <w:lastRenderedPageBreak/>
        <w:t xml:space="preserve">characteristics. These model estimates can be evaluated by comparing </w:t>
      </w:r>
      <w:r w:rsidR="004F323A" w:rsidRPr="004A1A26">
        <w:t xml:space="preserve">them </w:t>
      </w:r>
      <w:r w:rsidRPr="004A1A26">
        <w:t>to observed ozone concentrations, UV levels and disease incidence rates.</w:t>
      </w:r>
    </w:p>
    <w:p w14:paraId="1C6C0121" w14:textId="690ABDD0" w:rsidR="00F340B7" w:rsidRPr="004A1A26" w:rsidRDefault="00D117F3" w:rsidP="00375A5D">
      <w:pPr>
        <w:pStyle w:val="Heading4"/>
        <w:rPr>
          <w:i/>
        </w:rPr>
      </w:pPr>
      <w:r>
        <w:t>P</w:t>
      </w:r>
      <w:r w:rsidR="00197208" w:rsidRPr="004A1A26">
        <w:t>ossible a</w:t>
      </w:r>
      <w:r w:rsidR="00F32F98" w:rsidRPr="004A1A26">
        <w:t>lternatives</w:t>
      </w:r>
    </w:p>
    <w:p w14:paraId="767419D7" w14:textId="77777777" w:rsidR="00F340B7" w:rsidRPr="004A1A26" w:rsidRDefault="00F32F98" w:rsidP="00B477F5">
      <w:bookmarkStart w:id="69" w:name="_qsh70q" w:colFirst="0" w:colLast="0"/>
      <w:bookmarkEnd w:id="69"/>
      <w:r w:rsidRPr="004A1A26">
        <w:t xml:space="preserve">Other metrics have been used to gauge the success of </w:t>
      </w:r>
      <w:r w:rsidR="00197208" w:rsidRPr="004A1A26">
        <w:t xml:space="preserve">efforts to protect </w:t>
      </w:r>
      <w:r w:rsidRPr="004A1A26">
        <w:t xml:space="preserve">stratospheric ozone, including the minimum observed stratospheric ozone concentration, changes in UV radiation levels, </w:t>
      </w:r>
      <w:r w:rsidR="00B4741A" w:rsidRPr="004A1A26">
        <w:t xml:space="preserve">and </w:t>
      </w:r>
      <w:r w:rsidRPr="004A1A26">
        <w:t xml:space="preserve">the spatial extent of the Antarctic ozone </w:t>
      </w:r>
      <w:r w:rsidR="00F340B7" w:rsidRPr="004A1A26">
        <w:t>‘</w:t>
      </w:r>
      <w:r w:rsidRPr="004A1A26">
        <w:t>hole</w:t>
      </w:r>
      <w:r w:rsidR="00F340B7" w:rsidRPr="004A1A26">
        <w:t>’</w:t>
      </w:r>
      <w:r w:rsidR="00B4741A" w:rsidRPr="004A1A26">
        <w:t>.</w:t>
      </w:r>
      <w:r w:rsidRPr="004A1A26">
        <w:t xml:space="preserve"> These metrics are influenced by ODS policies over the long term, but also by inter-annual variability, decadal climate cycles and long-term climate change.</w:t>
      </w:r>
    </w:p>
    <w:p w14:paraId="5F10388D" w14:textId="77777777" w:rsidR="00F340B7" w:rsidRPr="004A1A26" w:rsidRDefault="00EF2F6C" w:rsidP="00B477F5">
      <w:r w:rsidRPr="004A1A26">
        <w:t xml:space="preserve">ODS </w:t>
      </w:r>
      <w:r w:rsidR="00F340B7" w:rsidRPr="004A1A26">
        <w:t>emission</w:t>
      </w:r>
      <w:r w:rsidRPr="004A1A26">
        <w:t xml:space="preserve">s could be compared on a per capita or per </w:t>
      </w:r>
      <w:r w:rsidR="00197208" w:rsidRPr="004A1A26">
        <w:t>gross domestic product (</w:t>
      </w:r>
      <w:r w:rsidRPr="004A1A26">
        <w:t>GDP</w:t>
      </w:r>
      <w:r w:rsidR="00197208" w:rsidRPr="004A1A26">
        <w:t>)</w:t>
      </w:r>
      <w:r w:rsidRPr="004A1A26">
        <w:t xml:space="preserve"> basis, each of which implies a different assumption about what constitutes an equitable distribution of the burden of additional controls.</w:t>
      </w:r>
    </w:p>
    <w:p w14:paraId="0C566559" w14:textId="546E1BE1" w:rsidR="00F340B7" w:rsidRPr="004A1A26" w:rsidRDefault="00F32F98" w:rsidP="00364053">
      <w:pPr>
        <w:pStyle w:val="Heading3"/>
      </w:pPr>
      <w:bookmarkStart w:id="70" w:name="_Toc500334343"/>
      <w:bookmarkStart w:id="71" w:name="_Toc516842475"/>
      <w:r w:rsidRPr="004A1A26">
        <w:t>Indicator 3: Anthrop</w:t>
      </w:r>
      <w:r w:rsidR="00F340B7" w:rsidRPr="004A1A26">
        <w:t>ogen</w:t>
      </w:r>
      <w:r w:rsidRPr="004A1A26">
        <w:t>ic</w:t>
      </w:r>
      <w:r w:rsidR="00113D17">
        <w:t xml:space="preserve"> </w:t>
      </w:r>
      <w:r w:rsidR="00197208" w:rsidRPr="004A1A26">
        <w:t>e</w:t>
      </w:r>
      <w:r w:rsidRPr="004A1A26">
        <w:t xml:space="preserve">missions of </w:t>
      </w:r>
      <w:r w:rsidR="00197208" w:rsidRPr="004A1A26">
        <w:t>l</w:t>
      </w:r>
      <w:r w:rsidRPr="004A1A26">
        <w:t>ong</w:t>
      </w:r>
      <w:r w:rsidR="00197208" w:rsidRPr="004A1A26">
        <w:t>-l</w:t>
      </w:r>
      <w:r w:rsidRPr="004A1A26">
        <w:t xml:space="preserve">ived </w:t>
      </w:r>
      <w:r w:rsidR="00197208" w:rsidRPr="004A1A26">
        <w:t>g</w:t>
      </w:r>
      <w:r w:rsidRPr="004A1A26">
        <w:t xml:space="preserve">reenhouse </w:t>
      </w:r>
      <w:r w:rsidR="00197208" w:rsidRPr="004A1A26">
        <w:t>g</w:t>
      </w:r>
      <w:r w:rsidRPr="004A1A26">
        <w:t>ases (CO</w:t>
      </w:r>
      <w:r w:rsidRPr="004A1A26">
        <w:rPr>
          <w:vertAlign w:val="subscript"/>
        </w:rPr>
        <w:t>2</w:t>
      </w:r>
      <w:r w:rsidRPr="004A1A26">
        <w:t xml:space="preserve"> equivalents)</w:t>
      </w:r>
      <w:bookmarkEnd w:id="70"/>
      <w:bookmarkEnd w:id="71"/>
    </w:p>
    <w:p w14:paraId="697ABEED" w14:textId="77777777" w:rsidR="00F340B7" w:rsidRPr="004A1A26" w:rsidRDefault="00F32F98" w:rsidP="00375A5D">
      <w:pPr>
        <w:pStyle w:val="Heading4"/>
      </w:pPr>
      <w:r w:rsidRPr="004A1A26">
        <w:t xml:space="preserve">Indicator </w:t>
      </w:r>
      <w:r w:rsidR="00197208" w:rsidRPr="004A1A26">
        <w:t>g</w:t>
      </w:r>
      <w:r w:rsidRPr="004A1A26">
        <w:t>raphic</w:t>
      </w:r>
    </w:p>
    <w:p w14:paraId="24FB81C3" w14:textId="1313B144" w:rsidR="00F340B7" w:rsidRPr="004A1A26" w:rsidRDefault="007F7F78" w:rsidP="00B477F5">
      <w:r>
        <w:rPr>
          <w:noProof/>
        </w:rPr>
        <w:drawing>
          <wp:inline distT="0" distB="0" distL="0" distR="0" wp14:anchorId="75843539" wp14:editId="33BA450D">
            <wp:extent cx="5731510" cy="26054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2.4 National total GHG emissions in 2014.jpg"/>
                    <pic:cNvPicPr/>
                  </pic:nvPicPr>
                  <pic:blipFill>
                    <a:blip r:embed="rId16"/>
                    <a:stretch>
                      <a:fillRect/>
                    </a:stretch>
                  </pic:blipFill>
                  <pic:spPr>
                    <a:xfrm>
                      <a:off x="0" y="0"/>
                      <a:ext cx="5731510" cy="2605405"/>
                    </a:xfrm>
                    <a:prstGeom prst="rect">
                      <a:avLst/>
                    </a:prstGeom>
                  </pic:spPr>
                </pic:pic>
              </a:graphicData>
            </a:graphic>
          </wp:inline>
        </w:drawing>
      </w:r>
    </w:p>
    <w:p w14:paraId="5FADCC63" w14:textId="77777777" w:rsidR="00197208" w:rsidRPr="004A1A26" w:rsidRDefault="002A04F6" w:rsidP="00113D17">
      <w:pPr>
        <w:pStyle w:val="Caption"/>
      </w:pPr>
      <w:r w:rsidRPr="004A1A26">
        <w:t xml:space="preserve">Figure </w:t>
      </w:r>
      <w:r w:rsidR="00350B00" w:rsidRPr="004A1A26">
        <w:rPr>
          <w:noProof/>
        </w:rPr>
        <w:fldChar w:fldCharType="begin"/>
      </w:r>
      <w:r w:rsidR="00D169A0" w:rsidRPr="004A1A26">
        <w:rPr>
          <w:noProof/>
        </w:rPr>
        <w:instrText xml:space="preserve"> STYLEREF 1 \s </w:instrText>
      </w:r>
      <w:r w:rsidR="00350B00" w:rsidRPr="004A1A26">
        <w:rPr>
          <w:noProof/>
        </w:rPr>
        <w:fldChar w:fldCharType="separate"/>
      </w:r>
      <w:r w:rsidR="00430786" w:rsidRPr="004A1A26">
        <w:rPr>
          <w:noProof/>
        </w:rPr>
        <w:t>12</w:t>
      </w:r>
      <w:r w:rsidR="00350B00" w:rsidRPr="004A1A26">
        <w:rPr>
          <w:noProof/>
        </w:rPr>
        <w:fldChar w:fldCharType="end"/>
      </w:r>
      <w:r w:rsidRPr="004A1A26">
        <w:t>.</w:t>
      </w:r>
      <w:r w:rsidR="00350B00" w:rsidRPr="004A1A26">
        <w:rPr>
          <w:noProof/>
        </w:rPr>
        <w:fldChar w:fldCharType="begin"/>
      </w:r>
      <w:r w:rsidR="00D169A0" w:rsidRPr="004A1A26">
        <w:rPr>
          <w:noProof/>
        </w:rPr>
        <w:instrText xml:space="preserve"> SEQ Figure \* ARABIC \s 1 </w:instrText>
      </w:r>
      <w:r w:rsidR="00350B00" w:rsidRPr="004A1A26">
        <w:rPr>
          <w:noProof/>
        </w:rPr>
        <w:fldChar w:fldCharType="separate"/>
      </w:r>
      <w:r w:rsidR="00430786" w:rsidRPr="004A1A26">
        <w:rPr>
          <w:noProof/>
        </w:rPr>
        <w:t>4</w:t>
      </w:r>
      <w:r w:rsidR="00350B00" w:rsidRPr="004A1A26">
        <w:rPr>
          <w:noProof/>
        </w:rPr>
        <w:fldChar w:fldCharType="end"/>
      </w:r>
      <w:r w:rsidRPr="004A1A26">
        <w:t xml:space="preserve">: National total GHG </w:t>
      </w:r>
      <w:r w:rsidR="00F340B7" w:rsidRPr="004A1A26">
        <w:t>emission</w:t>
      </w:r>
      <w:r w:rsidRPr="004A1A26">
        <w:t xml:space="preserve">s in </w:t>
      </w:r>
      <w:r w:rsidR="00F340B7" w:rsidRPr="004A1A26">
        <w:t>2014</w:t>
      </w:r>
      <w:r w:rsidRPr="004A1A26">
        <w:t xml:space="preserve"> in MtCO</w:t>
      </w:r>
      <w:r w:rsidRPr="004A1A26">
        <w:rPr>
          <w:vertAlign w:val="subscript"/>
        </w:rPr>
        <w:t>2</w:t>
      </w:r>
      <w:r w:rsidRPr="004A1A26">
        <w:t>e</w:t>
      </w:r>
      <w:r w:rsidR="00197208" w:rsidRPr="004A1A26">
        <w:t>,</w:t>
      </w:r>
      <w:r w:rsidRPr="004A1A26">
        <w:t xml:space="preserve"> including </w:t>
      </w:r>
      <w:r w:rsidR="003A28BB" w:rsidRPr="004A1A26">
        <w:t>land-</w:t>
      </w:r>
      <w:r w:rsidR="00F340B7" w:rsidRPr="004A1A26">
        <w:t>use</w:t>
      </w:r>
      <w:r w:rsidRPr="004A1A26">
        <w:t xml:space="preserve"> change and forestry sources and sinks</w:t>
      </w:r>
    </w:p>
    <w:p w14:paraId="2986D4CC" w14:textId="4AD0E9E7" w:rsidR="00F340B7" w:rsidRPr="004A1A26" w:rsidRDefault="00197208" w:rsidP="00113D17">
      <w:pPr>
        <w:pStyle w:val="Caption"/>
        <w:rPr>
          <w:sz w:val="20"/>
          <w:szCs w:val="20"/>
        </w:rPr>
      </w:pPr>
      <w:r w:rsidRPr="004A1A26">
        <w:rPr>
          <w:i/>
          <w:sz w:val="20"/>
          <w:szCs w:val="20"/>
        </w:rPr>
        <w:t>Source:</w:t>
      </w:r>
      <w:r w:rsidR="00C776F0">
        <w:rPr>
          <w:i/>
          <w:sz w:val="20"/>
          <w:szCs w:val="20"/>
        </w:rPr>
        <w:t xml:space="preserve"> </w:t>
      </w:r>
      <w:r w:rsidR="00153CD8" w:rsidRPr="00153CD8">
        <w:rPr>
          <w:sz w:val="20"/>
          <w:szCs w:val="20"/>
        </w:rPr>
        <w:t>World Resources Institute (2017). Climate Analysis Indicators Tool: WRI’s Climate Data Explorer. Washington, DC: World Resources Institute. Available at http://cait.wri.org/historical/. Note these are derived from several sources including Food and Agriculture Organization of</w:t>
      </w:r>
      <w:r w:rsidR="00153CD8">
        <w:rPr>
          <w:sz w:val="20"/>
          <w:szCs w:val="20"/>
        </w:rPr>
        <w:t xml:space="preserve"> the United Nations </w:t>
      </w:r>
      <w:r w:rsidR="00153CD8" w:rsidRPr="00153CD8">
        <w:rPr>
          <w:sz w:val="20"/>
          <w:szCs w:val="20"/>
        </w:rPr>
        <w:t>[FAO]</w:t>
      </w:r>
      <w:r w:rsidR="00153CD8">
        <w:rPr>
          <w:sz w:val="20"/>
          <w:szCs w:val="20"/>
        </w:rPr>
        <w:t xml:space="preserve"> 2016; IEA 2016; </w:t>
      </w:r>
      <w:r w:rsidR="00153CD8" w:rsidRPr="00153CD8">
        <w:rPr>
          <w:sz w:val="20"/>
          <w:szCs w:val="20"/>
        </w:rPr>
        <w:t>UNFCCC 2017</w:t>
      </w:r>
      <w:r w:rsidR="00153CD8">
        <w:rPr>
          <w:sz w:val="20"/>
          <w:szCs w:val="20"/>
        </w:rPr>
        <w:t>b</w:t>
      </w:r>
      <w:r w:rsidR="00153CD8" w:rsidRPr="00153CD8">
        <w:rPr>
          <w:sz w:val="20"/>
          <w:szCs w:val="20"/>
        </w:rPr>
        <w:t>).</w:t>
      </w:r>
    </w:p>
    <w:p w14:paraId="349E5FFD" w14:textId="77777777" w:rsidR="00F340B7" w:rsidRPr="004A1A26" w:rsidRDefault="00F32F98" w:rsidP="00375A5D">
      <w:pPr>
        <w:pStyle w:val="Heading4"/>
        <w:rPr>
          <w:i/>
        </w:rPr>
      </w:pPr>
      <w:r w:rsidRPr="004A1A26">
        <w:t xml:space="preserve">Policy </w:t>
      </w:r>
      <w:r w:rsidR="00197208" w:rsidRPr="004A1A26">
        <w:t>r</w:t>
      </w:r>
      <w:r w:rsidRPr="004A1A26">
        <w:t>elevance/</w:t>
      </w:r>
      <w:r w:rsidR="00197208" w:rsidRPr="004A1A26">
        <w:t>c</w:t>
      </w:r>
      <w:r w:rsidRPr="004A1A26">
        <w:t xml:space="preserve">ausal </w:t>
      </w:r>
      <w:r w:rsidR="00197208" w:rsidRPr="004A1A26">
        <w:t>c</w:t>
      </w:r>
      <w:r w:rsidRPr="004A1A26">
        <w:t>hain</w:t>
      </w:r>
      <w:bookmarkStart w:id="72" w:name="_GoBack"/>
      <w:bookmarkEnd w:id="72"/>
    </w:p>
    <w:p w14:paraId="3AD54A7F" w14:textId="77777777" w:rsidR="00F340B7" w:rsidRPr="004A1A26" w:rsidRDefault="00F32F98" w:rsidP="00B477F5">
      <w:r w:rsidRPr="004A1A26">
        <w:t xml:space="preserve">Long-term climate change is driven by </w:t>
      </w:r>
      <w:r w:rsidR="00F340B7" w:rsidRPr="004A1A26">
        <w:t>emission</w:t>
      </w:r>
      <w:r w:rsidRPr="004A1A26">
        <w:t>s of long-lived GHGs, including CO</w:t>
      </w:r>
      <w:r w:rsidRPr="004A1A26">
        <w:rPr>
          <w:vertAlign w:val="subscript"/>
        </w:rPr>
        <w:t>2</w:t>
      </w:r>
      <w:r w:rsidRPr="004A1A26">
        <w:t>, methane (CH</w:t>
      </w:r>
      <w:r w:rsidRPr="004A1A26">
        <w:rPr>
          <w:vertAlign w:val="subscript"/>
        </w:rPr>
        <w:t>4</w:t>
      </w:r>
      <w:r w:rsidRPr="004A1A26">
        <w:t>), nitrous oxide (N</w:t>
      </w:r>
      <w:r w:rsidRPr="004A1A26">
        <w:rPr>
          <w:vertAlign w:val="subscript"/>
        </w:rPr>
        <w:t>2</w:t>
      </w:r>
      <w:r w:rsidRPr="004A1A26">
        <w:t>O) and fluorinated gases. The contribution of each of these pollutants to climate change can be compared in terms of CO</w:t>
      </w:r>
      <w:r w:rsidRPr="004A1A26">
        <w:rPr>
          <w:vertAlign w:val="subscript"/>
        </w:rPr>
        <w:t xml:space="preserve">2 </w:t>
      </w:r>
      <w:r w:rsidRPr="004A1A26">
        <w:t>equivalents using the Global Warming Potential (GWP) index, which accounts for the pollutants</w:t>
      </w:r>
      <w:r w:rsidR="00F340B7" w:rsidRPr="004A1A26">
        <w:t>’</w:t>
      </w:r>
      <w:r w:rsidRPr="004A1A26">
        <w:t xml:space="preserve"> different </w:t>
      </w:r>
      <w:r w:rsidRPr="004A1A26">
        <w:lastRenderedPageBreak/>
        <w:t xml:space="preserve">atmospheric lifetimes. GWPs are calculated for a specific </w:t>
      </w:r>
      <w:r w:rsidR="00F340B7" w:rsidRPr="004A1A26">
        <w:t>time-horizon</w:t>
      </w:r>
      <w:r w:rsidRPr="004A1A26">
        <w:t>, with 100 years being the most common for comparing the impact of long-lived GHGs.</w:t>
      </w:r>
    </w:p>
    <w:p w14:paraId="2397BEF5" w14:textId="6BCFB237" w:rsidR="00F340B7" w:rsidRPr="004A1A26" w:rsidRDefault="00F32F98" w:rsidP="00B477F5">
      <w:r w:rsidRPr="004A1A26">
        <w:t>Anthrop</w:t>
      </w:r>
      <w:r w:rsidR="00F340B7" w:rsidRPr="004A1A26">
        <w:t>ogen</w:t>
      </w:r>
      <w:r w:rsidRPr="004A1A26">
        <w:t xml:space="preserve">ic </w:t>
      </w:r>
      <w:r w:rsidR="00F340B7" w:rsidRPr="004A1A26">
        <w:t>emission</w:t>
      </w:r>
      <w:r w:rsidRPr="004A1A26">
        <w:t>s of GHGs come from a wide range of sources but are primarily associated with the production and consumption of energy</w:t>
      </w:r>
      <w:r w:rsidR="0007782E" w:rsidRPr="004A1A26">
        <w:t xml:space="preserve">, </w:t>
      </w:r>
      <w:r w:rsidR="003A28BB" w:rsidRPr="004A1A26">
        <w:t>land-</w:t>
      </w:r>
      <w:r w:rsidR="00F340B7" w:rsidRPr="004A1A26">
        <w:t>use</w:t>
      </w:r>
      <w:r w:rsidRPr="004A1A26">
        <w:t xml:space="preserve"> change and deforestation. Different types of policies can directly or indirectly affect energy production and consumption behaviours and technol</w:t>
      </w:r>
      <w:r w:rsidR="00F340B7" w:rsidRPr="004A1A26">
        <w:t>ogies</w:t>
      </w:r>
      <w:r w:rsidRPr="004A1A26">
        <w:t xml:space="preserve"> and thus the generation of GHG </w:t>
      </w:r>
      <w:r w:rsidR="00F340B7" w:rsidRPr="004A1A26">
        <w:t>emission</w:t>
      </w:r>
      <w:r w:rsidRPr="004A1A26">
        <w:t>s. Anthrop</w:t>
      </w:r>
      <w:r w:rsidR="00F340B7" w:rsidRPr="004A1A26">
        <w:t>ogen</w:t>
      </w:r>
      <w:r w:rsidRPr="004A1A26">
        <w:t xml:space="preserve">ic </w:t>
      </w:r>
      <w:r w:rsidR="00F340B7" w:rsidRPr="004A1A26">
        <w:t>emission</w:t>
      </w:r>
      <w:r w:rsidRPr="004A1A26">
        <w:t xml:space="preserve">s are quantified and reported at the national level to the UNFCCC and provide an aggregate indicator of the effectiveness of policies. </w:t>
      </w:r>
      <w:r w:rsidR="00A31796" w:rsidRPr="004A1A26">
        <w:t xml:space="preserve">Annual </w:t>
      </w:r>
      <w:r w:rsidR="00F340B7" w:rsidRPr="004A1A26">
        <w:t>emission</w:t>
      </w:r>
      <w:r w:rsidR="00A31796" w:rsidRPr="004A1A26">
        <w:t xml:space="preserve">s data from </w:t>
      </w:r>
      <w:r w:rsidR="00F340B7" w:rsidRPr="004A1A26">
        <w:t>1990</w:t>
      </w:r>
      <w:r w:rsidR="00A31796" w:rsidRPr="004A1A26">
        <w:t xml:space="preserve"> to </w:t>
      </w:r>
      <w:r w:rsidR="00DA6D4C" w:rsidRPr="004A1A26">
        <w:t xml:space="preserve">the </w:t>
      </w:r>
      <w:r w:rsidR="00A31796" w:rsidRPr="004A1A26">
        <w:t xml:space="preserve">present </w:t>
      </w:r>
      <w:r w:rsidR="0007782E" w:rsidRPr="004A1A26">
        <w:t xml:space="preserve">are </w:t>
      </w:r>
      <w:r w:rsidR="00A31796" w:rsidRPr="004A1A26">
        <w:t>available from the UNFCCC for industrialized countries or economies in transition (</w:t>
      </w:r>
      <w:r w:rsidR="006E1A7D">
        <w:t xml:space="preserve">called </w:t>
      </w:r>
      <w:r w:rsidR="00A31796" w:rsidRPr="004A1A26">
        <w:t>Annex I</w:t>
      </w:r>
      <w:r w:rsidR="006E1A7D">
        <w:t xml:space="preserve"> Parties under the Convention</w:t>
      </w:r>
      <w:r w:rsidR="00A31796" w:rsidRPr="004A1A26">
        <w:t>).</w:t>
      </w:r>
      <w:r w:rsidR="00C776F0">
        <w:t xml:space="preserve"> </w:t>
      </w:r>
      <w:r w:rsidR="00A31796" w:rsidRPr="004A1A26">
        <w:t xml:space="preserve">Under the Paris Agreement, all countries are required to submit </w:t>
      </w:r>
      <w:r w:rsidR="00F340B7" w:rsidRPr="004A1A26">
        <w:t>emission</w:t>
      </w:r>
      <w:r w:rsidR="00A31796" w:rsidRPr="004A1A26">
        <w:t>s inventories every two years.</w:t>
      </w:r>
    </w:p>
    <w:p w14:paraId="0F858829" w14:textId="77777777" w:rsidR="00F340B7" w:rsidRPr="004A1A26" w:rsidRDefault="00F32F98" w:rsidP="00375A5D">
      <w:pPr>
        <w:pStyle w:val="Heading4"/>
        <w:rPr>
          <w:i/>
        </w:rPr>
      </w:pPr>
      <w:r w:rsidRPr="004A1A26">
        <w:t xml:space="preserve">Other </w:t>
      </w:r>
      <w:r w:rsidR="00DA6D4C" w:rsidRPr="004A1A26">
        <w:t>f</w:t>
      </w:r>
      <w:r w:rsidRPr="004A1A26">
        <w:t>actors</w:t>
      </w:r>
    </w:p>
    <w:p w14:paraId="10C5477E" w14:textId="224633D3" w:rsidR="00F340B7" w:rsidRPr="004A1A26" w:rsidRDefault="00F32F98" w:rsidP="00B477F5">
      <w:r w:rsidRPr="004A1A26">
        <w:t>In addition to policies, anthrop</w:t>
      </w:r>
      <w:r w:rsidR="00F340B7" w:rsidRPr="004A1A26">
        <w:t>ogen</w:t>
      </w:r>
      <w:r w:rsidRPr="004A1A26">
        <w:t xml:space="preserve">ic GHG </w:t>
      </w:r>
      <w:r w:rsidR="00F340B7" w:rsidRPr="004A1A26">
        <w:t>emission</w:t>
      </w:r>
      <w:r w:rsidRPr="004A1A26">
        <w:t>s are also affected by economic, social and technol</w:t>
      </w:r>
      <w:r w:rsidR="00F340B7" w:rsidRPr="004A1A26">
        <w:t>ogical</w:t>
      </w:r>
      <w:r w:rsidRPr="004A1A26">
        <w:t xml:space="preserve"> trends.</w:t>
      </w:r>
      <w:r w:rsidR="00C776F0">
        <w:t xml:space="preserve"> </w:t>
      </w:r>
      <w:r w:rsidRPr="004A1A26">
        <w:t xml:space="preserve">GHG </w:t>
      </w:r>
      <w:r w:rsidR="00F340B7" w:rsidRPr="004A1A26">
        <w:t>emission</w:t>
      </w:r>
      <w:r w:rsidRPr="004A1A26">
        <w:t>s are also generated by natural sources</w:t>
      </w:r>
      <w:r w:rsidR="002957C0" w:rsidRPr="004A1A26">
        <w:t>. Both</w:t>
      </w:r>
      <w:r w:rsidRPr="004A1A26">
        <w:t xml:space="preserve"> natural and anthrop</w:t>
      </w:r>
      <w:r w:rsidR="00F340B7" w:rsidRPr="004A1A26">
        <w:t>ogen</w:t>
      </w:r>
      <w:r w:rsidRPr="004A1A26">
        <w:t>ic sources are affected by natural meteorol</w:t>
      </w:r>
      <w:r w:rsidR="00F340B7" w:rsidRPr="004A1A26">
        <w:t>ogical</w:t>
      </w:r>
      <w:r w:rsidRPr="004A1A26">
        <w:t xml:space="preserve"> and climate variability.</w:t>
      </w:r>
    </w:p>
    <w:p w14:paraId="7B5461E5" w14:textId="77777777" w:rsidR="00F340B7" w:rsidRPr="004A1A26" w:rsidRDefault="00F32F98" w:rsidP="00B477F5">
      <w:r w:rsidRPr="004A1A26">
        <w:t xml:space="preserve">The relationship between GHG </w:t>
      </w:r>
      <w:r w:rsidR="00F340B7" w:rsidRPr="004A1A26">
        <w:t>emission</w:t>
      </w:r>
      <w:r w:rsidRPr="004A1A26">
        <w:t xml:space="preserve">s, radiative forcing, changes in climate and climate variability, and downstream impacts on human health, ecosystems and infrastructure can be estimated using </w:t>
      </w:r>
      <w:r w:rsidR="00DA6D4C" w:rsidRPr="004A1A26">
        <w:t>E</w:t>
      </w:r>
      <w:r w:rsidRPr="004A1A26">
        <w:t>arth system models that must account for a significant number of processes and feedbacks.</w:t>
      </w:r>
    </w:p>
    <w:p w14:paraId="6F3C8613" w14:textId="77777777" w:rsidR="00F340B7" w:rsidRPr="004A1A26" w:rsidRDefault="00F32F98" w:rsidP="00B477F5">
      <w:r w:rsidRPr="004A1A26">
        <w:t xml:space="preserve">GHG </w:t>
      </w:r>
      <w:r w:rsidR="00F340B7" w:rsidRPr="004A1A26">
        <w:t>emission</w:t>
      </w:r>
      <w:r w:rsidRPr="004A1A26">
        <w:t xml:space="preserve"> estimates can be compared to observations of GHG concentrations from </w:t>
      </w:r>
      <w:r w:rsidR="00F340B7" w:rsidRPr="004A1A26">
        <w:t>in situ</w:t>
      </w:r>
      <w:r w:rsidRPr="004A1A26">
        <w:t xml:space="preserve"> measurements and satellite</w:t>
      </w:r>
      <w:r w:rsidR="00F340B7" w:rsidRPr="004A1A26">
        <w:t>-borne</w:t>
      </w:r>
      <w:r w:rsidRPr="004A1A26">
        <w:t xml:space="preserve"> instruments, although it can be difficult to attribute small changes in specific anthrop</w:t>
      </w:r>
      <w:r w:rsidR="00F340B7" w:rsidRPr="004A1A26">
        <w:t>ogen</w:t>
      </w:r>
      <w:r w:rsidRPr="004A1A26">
        <w:t>ic sources to changes in the observed distribution.</w:t>
      </w:r>
    </w:p>
    <w:p w14:paraId="7FF078B7" w14:textId="6E144879" w:rsidR="00F340B7" w:rsidRPr="004A1A26" w:rsidRDefault="00260875" w:rsidP="00375A5D">
      <w:pPr>
        <w:pStyle w:val="Heading4"/>
        <w:rPr>
          <w:i/>
        </w:rPr>
      </w:pPr>
      <w:r>
        <w:t>P</w:t>
      </w:r>
      <w:r w:rsidR="00DA6D4C" w:rsidRPr="004A1A26">
        <w:t>ossible a</w:t>
      </w:r>
      <w:r w:rsidR="00F32F98" w:rsidRPr="004A1A26">
        <w:t>lternatives</w:t>
      </w:r>
    </w:p>
    <w:p w14:paraId="47540163" w14:textId="77777777" w:rsidR="00F340B7" w:rsidRPr="004A1A26" w:rsidRDefault="00F32F98" w:rsidP="00B477F5">
      <w:r w:rsidRPr="004A1A26">
        <w:t xml:space="preserve">GWP-weighted long-lived GHG </w:t>
      </w:r>
      <w:r w:rsidR="00F340B7" w:rsidRPr="004A1A26">
        <w:t>emission</w:t>
      </w:r>
      <w:r w:rsidRPr="004A1A26">
        <w:t xml:space="preserve">s are </w:t>
      </w:r>
      <w:r w:rsidR="00F340B7" w:rsidRPr="004A1A26">
        <w:t>well</w:t>
      </w:r>
      <w:r w:rsidR="00DA6D4C" w:rsidRPr="004A1A26">
        <w:t>-</w:t>
      </w:r>
      <w:r w:rsidRPr="004A1A26">
        <w:t>accepted metrics of climate policy effectiveness under the UNFCCC.</w:t>
      </w:r>
    </w:p>
    <w:p w14:paraId="7CC60502" w14:textId="77777777" w:rsidR="00F340B7" w:rsidRPr="004A1A26" w:rsidRDefault="00F32F98" w:rsidP="00B477F5">
      <w:r w:rsidRPr="004A1A26">
        <w:t xml:space="preserve">There are long lag times between changes in </w:t>
      </w:r>
      <w:r w:rsidR="00F340B7" w:rsidRPr="004A1A26">
        <w:t>emission</w:t>
      </w:r>
      <w:r w:rsidRPr="004A1A26">
        <w:t>s and changes in atmospheric concentrations, radiative forcing or climate state variables (temperatures, precipitation etc.), which make these state variables less useful for assessing policy effectiveness.</w:t>
      </w:r>
    </w:p>
    <w:p w14:paraId="53BB19F5" w14:textId="7A3EDE85" w:rsidR="00F340B7" w:rsidRPr="004A1A26" w:rsidRDefault="00F32F98" w:rsidP="00FE283E">
      <w:pPr>
        <w:tabs>
          <w:tab w:val="left" w:pos="4590"/>
        </w:tabs>
      </w:pPr>
      <w:bookmarkStart w:id="73" w:name="_3as4poj" w:colFirst="0" w:colLast="0"/>
      <w:bookmarkEnd w:id="73"/>
      <w:r w:rsidRPr="004A1A26">
        <w:t>Emissions of short-lived climate pollutants (such as black carbon and hydrofluorocarbons) could be included in the aggregation</w:t>
      </w:r>
      <w:r w:rsidR="00DA6D4C" w:rsidRPr="004A1A26">
        <w:t>,</w:t>
      </w:r>
      <w:r w:rsidRPr="004A1A26">
        <w:t xml:space="preserve"> and other </w:t>
      </w:r>
      <w:r w:rsidR="00F340B7" w:rsidRPr="004A1A26">
        <w:t>indices</w:t>
      </w:r>
      <w:r w:rsidRPr="004A1A26">
        <w:t xml:space="preserve"> (such as a Global Temperature Potential (GTP) or a GWP over a 20-year horizon) could be used to weigh</w:t>
      </w:r>
      <w:r w:rsidR="00C776F0">
        <w:t>t</w:t>
      </w:r>
      <w:r w:rsidRPr="004A1A26">
        <w:t xml:space="preserve"> the contribution of different pollutants. However, it is not necessary to combine </w:t>
      </w:r>
      <w:r w:rsidR="00F340B7" w:rsidRPr="004A1A26">
        <w:t>short-lived</w:t>
      </w:r>
      <w:r w:rsidRPr="004A1A26">
        <w:t xml:space="preserve"> climate pollutants and long-lived GHGs, and separate indicators may be more useful for the two baskets of </w:t>
      </w:r>
      <w:r w:rsidR="00F340B7" w:rsidRPr="004A1A26">
        <w:t>emission</w:t>
      </w:r>
      <w:r w:rsidRPr="004A1A26">
        <w:t>s.</w:t>
      </w:r>
    </w:p>
    <w:p w14:paraId="4BDFAC23" w14:textId="77777777" w:rsidR="00F340B7" w:rsidRPr="004A1A26" w:rsidRDefault="002957C0" w:rsidP="00B477F5">
      <w:r w:rsidRPr="004A1A26">
        <w:lastRenderedPageBreak/>
        <w:t xml:space="preserve">GHG </w:t>
      </w:r>
      <w:r w:rsidR="00F340B7" w:rsidRPr="004A1A26">
        <w:t>emission</w:t>
      </w:r>
      <w:r w:rsidRPr="004A1A26">
        <w:t>s could be compared on a per capita or per GDP basis, each of which implies a different assumption about what constitutes an equitable distribution of the burden of additional controls</w:t>
      </w:r>
    </w:p>
    <w:p w14:paraId="5EDB9647" w14:textId="27794472" w:rsidR="00F340B7" w:rsidRPr="004A1A26" w:rsidRDefault="00F32F98" w:rsidP="00723413">
      <w:pPr>
        <w:pStyle w:val="Heading2"/>
      </w:pPr>
      <w:bookmarkStart w:id="74" w:name="_Toc500317250"/>
      <w:bookmarkStart w:id="75" w:name="_Toc500317443"/>
      <w:bookmarkStart w:id="76" w:name="_Toc500334344"/>
      <w:bookmarkStart w:id="77" w:name="_Toc500347367"/>
      <w:bookmarkStart w:id="78" w:name="_Toc516842476"/>
      <w:r w:rsidRPr="004A1A26">
        <w:t xml:space="preserve">Discussion and </w:t>
      </w:r>
      <w:r w:rsidR="00DA6D4C" w:rsidRPr="004A1A26">
        <w:t>c</w:t>
      </w:r>
      <w:r w:rsidRPr="004A1A26">
        <w:t>onclusion</w:t>
      </w:r>
      <w:bookmarkEnd w:id="74"/>
      <w:bookmarkEnd w:id="75"/>
      <w:bookmarkEnd w:id="76"/>
      <w:bookmarkEnd w:id="77"/>
      <w:bookmarkEnd w:id="78"/>
      <w:r w:rsidR="00113D17">
        <w:t>s</w:t>
      </w:r>
    </w:p>
    <w:p w14:paraId="2920FA49" w14:textId="77777777" w:rsidR="00F340B7" w:rsidRPr="004A1A26" w:rsidRDefault="00F32F98" w:rsidP="00B477F5">
      <w:r w:rsidRPr="004A1A26">
        <w:t xml:space="preserve">A wide variety of policy approaches, including but not limited to planning regimes, </w:t>
      </w:r>
      <w:r w:rsidR="00F340B7" w:rsidRPr="004A1A26">
        <w:t>emission</w:t>
      </w:r>
      <w:r w:rsidRPr="004A1A26">
        <w:t>s and technol</w:t>
      </w:r>
      <w:r w:rsidR="00F340B7" w:rsidRPr="004A1A26">
        <w:t>ogy</w:t>
      </w:r>
      <w:r w:rsidRPr="004A1A26">
        <w:t xml:space="preserve"> standards, market interventions, public information and international cooperation, ha</w:t>
      </w:r>
      <w:r w:rsidR="00DA6D4C" w:rsidRPr="004A1A26">
        <w:t>ve</w:t>
      </w:r>
      <w:r w:rsidRPr="004A1A26">
        <w:t xml:space="preserve"> been applied to the problems of air pollution, climate change, ODS</w:t>
      </w:r>
      <w:r w:rsidR="00DA6D4C" w:rsidRPr="004A1A26">
        <w:t>s</w:t>
      </w:r>
      <w:r w:rsidRPr="004A1A26">
        <w:t xml:space="preserve"> and PBTs. Lessons can be learned about each type of policy approach from applications to the four different problems at different ge</w:t>
      </w:r>
      <w:r w:rsidR="00F340B7" w:rsidRPr="004A1A26">
        <w:t>ogra</w:t>
      </w:r>
      <w:r w:rsidRPr="004A1A26">
        <w:t>phic</w:t>
      </w:r>
      <w:r w:rsidR="00DA6D4C" w:rsidRPr="004A1A26">
        <w:t>al</w:t>
      </w:r>
      <w:r w:rsidRPr="004A1A26">
        <w:t xml:space="preserve"> scales.</w:t>
      </w:r>
    </w:p>
    <w:p w14:paraId="712E89D9" w14:textId="1B2D4464" w:rsidR="00F340B7" w:rsidRPr="004A1A26" w:rsidRDefault="00F32F98" w:rsidP="00B477F5">
      <w:r w:rsidRPr="004A1A26">
        <w:t>One lesson is that policy approaches must be adapted to specific contexts. There is</w:t>
      </w:r>
      <w:r w:rsidR="0071632C">
        <w:t xml:space="preserve"> </w:t>
      </w:r>
      <w:r w:rsidR="00DA6D4C" w:rsidRPr="004A1A26">
        <w:t>no single</w:t>
      </w:r>
      <w:r w:rsidRPr="004A1A26">
        <w:t xml:space="preserve"> model policy that is most appropriate for all settings. High</w:t>
      </w:r>
      <w:r w:rsidR="00DA6D4C" w:rsidRPr="004A1A26">
        <w:t>-</w:t>
      </w:r>
      <w:r w:rsidRPr="004A1A26">
        <w:t>income countries rely on information</w:t>
      </w:r>
      <w:r w:rsidR="00DA6D4C" w:rsidRPr="004A1A26">
        <w:t>-</w:t>
      </w:r>
      <w:r w:rsidRPr="004A1A26">
        <w:t>rich planning regimes and regulatory approaches backed by government enforcement capacity.</w:t>
      </w:r>
      <w:r w:rsidR="0071632C">
        <w:t xml:space="preserve"> </w:t>
      </w:r>
      <w:r w:rsidRPr="004A1A26">
        <w:t xml:space="preserve">These approaches may not be the most appropriate for settings where information is poor and enforcement capacity is lacking. In such settings, voluntary standards, market interventions and public information may prove more effective </w:t>
      </w:r>
      <w:r w:rsidR="00DA6D4C" w:rsidRPr="004A1A26">
        <w:t>in</w:t>
      </w:r>
      <w:r w:rsidRPr="004A1A26">
        <w:t xml:space="preserve"> decreas</w:t>
      </w:r>
      <w:r w:rsidR="00DA6D4C" w:rsidRPr="004A1A26">
        <w:t>ing</w:t>
      </w:r>
      <w:r w:rsidR="0071632C">
        <w:t xml:space="preserve"> </w:t>
      </w:r>
      <w:r w:rsidR="00F340B7" w:rsidRPr="004A1A26">
        <w:t>emission</w:t>
      </w:r>
      <w:r w:rsidRPr="004A1A26">
        <w:t xml:space="preserve">s and hazardous exposures. To </w:t>
      </w:r>
      <w:r w:rsidR="00DA6D4C" w:rsidRPr="004A1A26">
        <w:t xml:space="preserve">improve the </w:t>
      </w:r>
      <w:r w:rsidRPr="004A1A26">
        <w:t xml:space="preserve">effectiveness </w:t>
      </w:r>
      <w:r w:rsidR="00CF3711" w:rsidRPr="004A1A26">
        <w:t xml:space="preserve">of such attempts to strengthen </w:t>
      </w:r>
      <w:r w:rsidRPr="004A1A26">
        <w:t xml:space="preserve">climate finance and </w:t>
      </w:r>
      <w:r w:rsidR="00A76652" w:rsidRPr="004A1A26">
        <w:t>reduc</w:t>
      </w:r>
      <w:r w:rsidR="00DA6D4C" w:rsidRPr="004A1A26">
        <w:t>e</w:t>
      </w:r>
      <w:r w:rsidR="0071632C">
        <w:t xml:space="preserve"> </w:t>
      </w:r>
      <w:r w:rsidRPr="004A1A26">
        <w:t xml:space="preserve">air pollution, </w:t>
      </w:r>
      <w:r w:rsidR="0007782E" w:rsidRPr="004A1A26">
        <w:t>development assistance</w:t>
      </w:r>
      <w:r w:rsidRPr="004A1A26">
        <w:t xml:space="preserve"> will play a crucial role </w:t>
      </w:r>
      <w:r w:rsidR="00DA6D4C" w:rsidRPr="004A1A26">
        <w:t xml:space="preserve">in </w:t>
      </w:r>
      <w:r w:rsidR="00F340B7" w:rsidRPr="004A1A26">
        <w:t>capacity-building</w:t>
      </w:r>
      <w:r w:rsidRPr="004A1A26">
        <w:t xml:space="preserve"> and green economy development.</w:t>
      </w:r>
      <w:r w:rsidR="0071632C">
        <w:t xml:space="preserve"> </w:t>
      </w:r>
      <w:r w:rsidR="00145DC7" w:rsidRPr="004A1A26">
        <w:t>Capacity</w:t>
      </w:r>
      <w:r w:rsidR="00DA6D4C" w:rsidRPr="004A1A26">
        <w:t>-</w:t>
      </w:r>
      <w:r w:rsidR="00145DC7" w:rsidRPr="004A1A26">
        <w:t>building should focus on strengthening the technical and planning capabilities at local and national level</w:t>
      </w:r>
      <w:r w:rsidR="0071632C">
        <w:t>s</w:t>
      </w:r>
      <w:r w:rsidR="00145DC7" w:rsidRPr="004A1A26">
        <w:t xml:space="preserve"> that are most relevant for anticipating the potential impacts of climate change and developing appropriate policy responses. </w:t>
      </w:r>
      <w:r w:rsidR="002B4F59" w:rsidRPr="004A1A26">
        <w:t>A</w:t>
      </w:r>
      <w:r w:rsidRPr="004A1A26">
        <w:t xml:space="preserve">ir quality measures </w:t>
      </w:r>
      <w:r w:rsidR="002B4F59" w:rsidRPr="004A1A26">
        <w:t xml:space="preserve">need to be combined </w:t>
      </w:r>
      <w:r w:rsidRPr="004A1A26">
        <w:t>with climate and energy measures, agricultural policy, transport policy and urban planning</w:t>
      </w:r>
      <w:r w:rsidR="00DA6D4C" w:rsidRPr="004A1A26">
        <w:t>,</w:t>
      </w:r>
      <w:r w:rsidRPr="004A1A26">
        <w:t xml:space="preserve"> with a focus on improving health and biodiversity. A key message and challenge </w:t>
      </w:r>
      <w:proofErr w:type="gramStart"/>
      <w:r w:rsidRPr="004A1A26">
        <w:t>is</w:t>
      </w:r>
      <w:proofErr w:type="gramEnd"/>
      <w:r w:rsidRPr="004A1A26">
        <w:t xml:space="preserve"> how to </w:t>
      </w:r>
      <w:r w:rsidR="00546B83" w:rsidRPr="004A1A26">
        <w:t xml:space="preserve">ensure </w:t>
      </w:r>
      <w:r w:rsidRPr="004A1A26">
        <w:t>that climate policies do not increase health risks (e.g. from biomass burning and diesel) and that air quality policy is climate neutral. Also, it is imperative to consolidate a multi-scale governance approach that aligns international, national and local actions (</w:t>
      </w:r>
      <w:r w:rsidR="000A5715" w:rsidRPr="004A1A26">
        <w:t xml:space="preserve">Maas and </w:t>
      </w:r>
      <w:proofErr w:type="spellStart"/>
      <w:r w:rsidR="000A5715" w:rsidRPr="004A1A26">
        <w:t>Grennfelt</w:t>
      </w:r>
      <w:proofErr w:type="spellEnd"/>
      <w:r w:rsidR="000A5715" w:rsidRPr="004A1A26">
        <w:t xml:space="preserve"> </w:t>
      </w:r>
      <w:r w:rsidR="006D0A4B">
        <w:t xml:space="preserve">eds. </w:t>
      </w:r>
      <w:r w:rsidR="00F340B7" w:rsidRPr="004A1A26">
        <w:t>2016</w:t>
      </w:r>
      <w:r w:rsidRPr="004A1A26">
        <w:t>).</w:t>
      </w:r>
    </w:p>
    <w:p w14:paraId="216B470A" w14:textId="77777777" w:rsidR="00DB195E" w:rsidRPr="004A1A26" w:rsidRDefault="00DB195E" w:rsidP="00B477F5">
      <w:pPr>
        <w:sectPr w:rsidR="00DB195E" w:rsidRPr="004A1A26" w:rsidSect="00ED1714">
          <w:pgSz w:w="11906" w:h="16838" w:code="9"/>
          <w:pgMar w:top="1440" w:right="1440" w:bottom="1440" w:left="1440" w:header="720" w:footer="720" w:gutter="0"/>
          <w:cols w:space="720"/>
          <w:docGrid w:linePitch="360"/>
        </w:sectPr>
      </w:pPr>
      <w:bookmarkStart w:id="79" w:name="_1pxezwc" w:colFirst="0" w:colLast="0"/>
      <w:bookmarkEnd w:id="79"/>
    </w:p>
    <w:p w14:paraId="2B911231" w14:textId="77777777" w:rsidR="00F340B7" w:rsidRPr="004A1A26" w:rsidRDefault="00F32F98" w:rsidP="00FD7674">
      <w:pPr>
        <w:pStyle w:val="Heading1"/>
        <w:numPr>
          <w:ilvl w:val="0"/>
          <w:numId w:val="0"/>
        </w:numPr>
        <w:ind w:left="720" w:hanging="720"/>
      </w:pPr>
      <w:bookmarkStart w:id="80" w:name="_Toc500317251"/>
      <w:bookmarkStart w:id="81" w:name="_Toc516842477"/>
      <w:r w:rsidRPr="004A1A26">
        <w:lastRenderedPageBreak/>
        <w:t>References</w:t>
      </w:r>
      <w:bookmarkEnd w:id="80"/>
      <w:bookmarkEnd w:id="81"/>
    </w:p>
    <w:p w14:paraId="0F2AD898" w14:textId="3DBC61F6"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Air Quality in Scotland (2018). </w:t>
      </w:r>
      <w:r w:rsidRPr="00942D38">
        <w:rPr>
          <w:rFonts w:ascii="Segoe UI" w:eastAsia="MS Mincho" w:hAnsi="Segoe UI" w:cs="Segoe UI"/>
          <w:i/>
          <w:iCs/>
          <w:sz w:val="18"/>
          <w:szCs w:val="18"/>
          <w:lang w:val="en-US"/>
        </w:rPr>
        <w:t>Know &amp; respond - Scotland, the free air pollution alert messaging system</w:t>
      </w:r>
      <w:r w:rsidRPr="00942D38">
        <w:rPr>
          <w:rFonts w:ascii="Segoe UI" w:eastAsia="MS Mincho" w:hAnsi="Segoe UI" w:cs="Segoe UI"/>
          <w:sz w:val="18"/>
          <w:szCs w:val="18"/>
          <w:lang w:val="en-US"/>
        </w:rPr>
        <w:t xml:space="preserve">. </w:t>
      </w:r>
      <w:hyperlink r:id="rId17" w:history="1">
        <w:r w:rsidRPr="00942D38">
          <w:rPr>
            <w:rFonts w:ascii="Segoe UI" w:eastAsia="MS Mincho" w:hAnsi="Segoe UI" w:cs="Segoe UI"/>
            <w:sz w:val="18"/>
            <w:szCs w:val="18"/>
            <w:lang w:val="en-US"/>
          </w:rPr>
          <w:t>http://www.scottishairquality.co.uk/know-and-respond/</w:t>
        </w:r>
      </w:hyperlink>
      <w:r w:rsidRPr="00942D38">
        <w:rPr>
          <w:rFonts w:ascii="Segoe UI" w:eastAsia="MS Mincho" w:hAnsi="Segoe UI" w:cs="Segoe UI"/>
          <w:sz w:val="18"/>
          <w:szCs w:val="18"/>
          <w:lang w:val="en-US"/>
        </w:rPr>
        <w:t xml:space="preserve"> (Accessed: 4 November 2018).</w:t>
      </w:r>
    </w:p>
    <w:p w14:paraId="79C3E5CE"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B53FE94" w14:textId="2CA7A95F"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Apte</w:t>
      </w:r>
      <w:proofErr w:type="spellEnd"/>
      <w:r w:rsidRPr="00942D38">
        <w:rPr>
          <w:rFonts w:ascii="Segoe UI" w:hAnsi="Segoe UI" w:cs="Segoe UI"/>
          <w:sz w:val="18"/>
          <w:szCs w:val="18"/>
        </w:rPr>
        <w:t xml:space="preserve">, K. and Salvia, S. (2016). Household air pollution and its effects on health. </w:t>
      </w:r>
      <w:r w:rsidRPr="00942D38">
        <w:rPr>
          <w:rFonts w:ascii="Segoe UI" w:hAnsi="Segoe UI" w:cs="Segoe UI"/>
          <w:i/>
          <w:iCs/>
          <w:sz w:val="18"/>
          <w:szCs w:val="18"/>
        </w:rPr>
        <w:t>F1000Research</w:t>
      </w:r>
      <w:r w:rsidRPr="00942D38">
        <w:rPr>
          <w:rFonts w:ascii="Segoe UI" w:hAnsi="Segoe UI" w:cs="Segoe UI"/>
          <w:sz w:val="18"/>
          <w:szCs w:val="18"/>
        </w:rPr>
        <w:t xml:space="preserve"> 5(2593). </w:t>
      </w:r>
      <w:hyperlink r:id="rId18" w:history="1">
        <w:r w:rsidRPr="007317E4">
          <w:rPr>
            <w:rStyle w:val="Hyperlink"/>
            <w:rFonts w:ascii="Segoe UI" w:hAnsi="Segoe UI" w:cs="Segoe UI"/>
            <w:sz w:val="18"/>
            <w:szCs w:val="18"/>
          </w:rPr>
          <w:t>https://doi.org/10.12688/f1000research.7552.1</w:t>
        </w:r>
      </w:hyperlink>
      <w:r w:rsidRPr="00942D38">
        <w:rPr>
          <w:rFonts w:ascii="Segoe UI" w:hAnsi="Segoe UI" w:cs="Segoe UI"/>
          <w:sz w:val="18"/>
          <w:szCs w:val="18"/>
        </w:rPr>
        <w:t>.</w:t>
      </w:r>
      <w:r>
        <w:rPr>
          <w:rFonts w:ascii="Segoe UI" w:hAnsi="Segoe UI" w:cs="Segoe UI"/>
          <w:sz w:val="18"/>
          <w:szCs w:val="18"/>
        </w:rPr>
        <w:t xml:space="preserve"> </w:t>
      </w:r>
    </w:p>
    <w:p w14:paraId="105A5F97"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611E604" w14:textId="5EBDF50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Asia Pacific Clean Air Partnership (2015). </w:t>
      </w:r>
      <w:r w:rsidRPr="00942D38">
        <w:rPr>
          <w:rFonts w:ascii="Segoe UI" w:hAnsi="Segoe UI" w:cs="Segoe UI"/>
          <w:i/>
          <w:iCs/>
          <w:sz w:val="18"/>
          <w:szCs w:val="18"/>
        </w:rPr>
        <w:t>Asia Pacific Clean Air Partnership: Promoting Better Air Quality in Asia Pacific.</w:t>
      </w:r>
      <w:r w:rsidRPr="00942D38">
        <w:rPr>
          <w:rFonts w:ascii="Segoe UI" w:hAnsi="Segoe UI" w:cs="Segoe UI"/>
          <w:sz w:val="18"/>
          <w:szCs w:val="18"/>
        </w:rPr>
        <w:t xml:space="preserve"> </w:t>
      </w:r>
      <w:hyperlink r:id="rId19" w:history="1">
        <w:r w:rsidRPr="007317E4">
          <w:rPr>
            <w:rStyle w:val="Hyperlink"/>
            <w:rFonts w:ascii="Segoe UI" w:hAnsi="Segoe UI" w:cs="Segoe UI"/>
            <w:sz w:val="18"/>
            <w:szCs w:val="18"/>
          </w:rPr>
          <w:t>http://staging.unep.org/documents/APCAP%20Brochure%208%20October%202015.pdf</w:t>
        </w:r>
      </w:hyperlink>
      <w:r w:rsidRPr="00942D38">
        <w:rPr>
          <w:rFonts w:ascii="Segoe UI" w:hAnsi="Segoe UI" w:cs="Segoe UI"/>
          <w:sz w:val="18"/>
          <w:szCs w:val="18"/>
        </w:rPr>
        <w:t>.</w:t>
      </w:r>
      <w:r>
        <w:rPr>
          <w:rFonts w:ascii="Segoe UI" w:hAnsi="Segoe UI" w:cs="Segoe UI"/>
          <w:sz w:val="18"/>
          <w:szCs w:val="18"/>
        </w:rPr>
        <w:t xml:space="preserve"> </w:t>
      </w:r>
    </w:p>
    <w:p w14:paraId="27B2103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5247254" w14:textId="75969BC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Åström</w:t>
      </w:r>
      <w:proofErr w:type="spellEnd"/>
      <w:r w:rsidRPr="00942D38">
        <w:rPr>
          <w:rFonts w:ascii="Segoe UI" w:hAnsi="Segoe UI" w:cs="Segoe UI"/>
          <w:sz w:val="18"/>
          <w:szCs w:val="18"/>
        </w:rPr>
        <w:t xml:space="preserve">, S., </w:t>
      </w:r>
      <w:proofErr w:type="spellStart"/>
      <w:r w:rsidRPr="00942D38">
        <w:rPr>
          <w:rFonts w:ascii="Segoe UI" w:hAnsi="Segoe UI" w:cs="Segoe UI"/>
          <w:sz w:val="18"/>
          <w:szCs w:val="18"/>
        </w:rPr>
        <w:t>Yaramenka</w:t>
      </w:r>
      <w:proofErr w:type="spellEnd"/>
      <w:r w:rsidRPr="00942D38">
        <w:rPr>
          <w:rFonts w:ascii="Segoe UI" w:hAnsi="Segoe UI" w:cs="Segoe UI"/>
          <w:sz w:val="18"/>
          <w:szCs w:val="18"/>
        </w:rPr>
        <w:t xml:space="preserve">, K., </w:t>
      </w:r>
      <w:proofErr w:type="spellStart"/>
      <w:r w:rsidRPr="00942D38">
        <w:rPr>
          <w:rFonts w:ascii="Segoe UI" w:hAnsi="Segoe UI" w:cs="Segoe UI"/>
          <w:sz w:val="18"/>
          <w:szCs w:val="18"/>
        </w:rPr>
        <w:t>Winnes</w:t>
      </w:r>
      <w:proofErr w:type="spellEnd"/>
      <w:r w:rsidRPr="00942D38">
        <w:rPr>
          <w:rFonts w:ascii="Segoe UI" w:hAnsi="Segoe UI" w:cs="Segoe UI"/>
          <w:sz w:val="18"/>
          <w:szCs w:val="18"/>
        </w:rPr>
        <w:t xml:space="preserve">, H., </w:t>
      </w:r>
      <w:proofErr w:type="spellStart"/>
      <w:r w:rsidRPr="00942D38">
        <w:rPr>
          <w:rFonts w:ascii="Segoe UI" w:hAnsi="Segoe UI" w:cs="Segoe UI"/>
          <w:sz w:val="18"/>
          <w:szCs w:val="18"/>
        </w:rPr>
        <w:t>Fridell</w:t>
      </w:r>
      <w:proofErr w:type="spellEnd"/>
      <w:r w:rsidRPr="00942D38">
        <w:rPr>
          <w:rFonts w:ascii="Segoe UI" w:hAnsi="Segoe UI" w:cs="Segoe UI"/>
          <w:sz w:val="18"/>
          <w:szCs w:val="18"/>
        </w:rPr>
        <w:t xml:space="preserve">, E. and Holland, M. (2018). The costs and benefits of a nitrogen emission control area in the Baltic and North Seas. </w:t>
      </w:r>
      <w:r w:rsidRPr="00942D38">
        <w:rPr>
          <w:rFonts w:ascii="Segoe UI" w:hAnsi="Segoe UI" w:cs="Segoe UI"/>
          <w:i/>
          <w:iCs/>
          <w:sz w:val="18"/>
          <w:szCs w:val="18"/>
        </w:rPr>
        <w:t>Transportation Research Part D: Transport and Environment</w:t>
      </w:r>
      <w:r w:rsidRPr="00942D38">
        <w:rPr>
          <w:rFonts w:ascii="Segoe UI" w:hAnsi="Segoe UI" w:cs="Segoe UI"/>
          <w:sz w:val="18"/>
          <w:szCs w:val="18"/>
        </w:rPr>
        <w:t xml:space="preserve"> 59, 223-236. </w:t>
      </w:r>
      <w:hyperlink r:id="rId20" w:history="1">
        <w:r w:rsidRPr="007317E4">
          <w:rPr>
            <w:rStyle w:val="Hyperlink"/>
            <w:rFonts w:ascii="Segoe UI" w:hAnsi="Segoe UI" w:cs="Segoe UI"/>
            <w:sz w:val="18"/>
            <w:szCs w:val="18"/>
          </w:rPr>
          <w:t>https://doi.org/10.1016/j.trd.2017.12.014</w:t>
        </w:r>
      </w:hyperlink>
      <w:r w:rsidRPr="00942D38">
        <w:rPr>
          <w:rFonts w:ascii="Segoe UI" w:hAnsi="Segoe UI" w:cs="Segoe UI"/>
          <w:sz w:val="18"/>
          <w:szCs w:val="18"/>
        </w:rPr>
        <w:t>.</w:t>
      </w:r>
      <w:r>
        <w:rPr>
          <w:rFonts w:ascii="Segoe UI" w:hAnsi="Segoe UI" w:cs="Segoe UI"/>
          <w:sz w:val="18"/>
          <w:szCs w:val="18"/>
        </w:rPr>
        <w:t xml:space="preserve"> </w:t>
      </w:r>
    </w:p>
    <w:p w14:paraId="1242FFBF"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F5A0659" w14:textId="1CE27024"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Auerbach, I.L. and </w:t>
      </w:r>
      <w:proofErr w:type="spellStart"/>
      <w:r w:rsidRPr="00942D38">
        <w:rPr>
          <w:rFonts w:ascii="Segoe UI" w:hAnsi="Segoe UI" w:cs="Segoe UI"/>
          <w:sz w:val="18"/>
          <w:szCs w:val="18"/>
        </w:rPr>
        <w:t>Flieger</w:t>
      </w:r>
      <w:proofErr w:type="spellEnd"/>
      <w:r w:rsidRPr="00942D38">
        <w:rPr>
          <w:rFonts w:ascii="Segoe UI" w:hAnsi="Segoe UI" w:cs="Segoe UI"/>
          <w:sz w:val="18"/>
          <w:szCs w:val="18"/>
        </w:rPr>
        <w:t xml:space="preserve">, K. (1967). The importance of public education in air pollution control. </w:t>
      </w:r>
      <w:r w:rsidRPr="00942D38">
        <w:rPr>
          <w:rFonts w:ascii="Segoe UI" w:hAnsi="Segoe UI" w:cs="Segoe UI"/>
          <w:i/>
          <w:iCs/>
          <w:sz w:val="18"/>
          <w:szCs w:val="18"/>
        </w:rPr>
        <w:t>Journal of the Air Pollution Control Association</w:t>
      </w:r>
      <w:r w:rsidRPr="00942D38">
        <w:rPr>
          <w:rFonts w:ascii="Segoe UI" w:hAnsi="Segoe UI" w:cs="Segoe UI"/>
          <w:sz w:val="18"/>
          <w:szCs w:val="18"/>
        </w:rPr>
        <w:t xml:space="preserve"> 17(2), 102-104. </w:t>
      </w:r>
      <w:hyperlink r:id="rId21" w:history="1">
        <w:r w:rsidRPr="007317E4">
          <w:rPr>
            <w:rStyle w:val="Hyperlink"/>
            <w:rFonts w:ascii="Segoe UI" w:hAnsi="Segoe UI" w:cs="Segoe UI"/>
            <w:sz w:val="18"/>
            <w:szCs w:val="18"/>
          </w:rPr>
          <w:t>https://doi.org/10.1080/00022470.1967.10468947</w:t>
        </w:r>
      </w:hyperlink>
      <w:r w:rsidRPr="00942D38">
        <w:rPr>
          <w:rFonts w:ascii="Segoe UI" w:hAnsi="Segoe UI" w:cs="Segoe UI"/>
          <w:sz w:val="18"/>
          <w:szCs w:val="18"/>
        </w:rPr>
        <w:t>.</w:t>
      </w:r>
      <w:r>
        <w:rPr>
          <w:rFonts w:ascii="Segoe UI" w:hAnsi="Segoe UI" w:cs="Segoe UI"/>
          <w:sz w:val="18"/>
          <w:szCs w:val="18"/>
        </w:rPr>
        <w:t xml:space="preserve"> </w:t>
      </w:r>
    </w:p>
    <w:p w14:paraId="2BB25482"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360C056" w14:textId="23C9BFBE"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Blanken</w:t>
      </w:r>
      <w:proofErr w:type="spellEnd"/>
      <w:r w:rsidRPr="00942D38">
        <w:rPr>
          <w:rFonts w:ascii="Segoe UI" w:hAnsi="Segoe UI" w:cs="Segoe UI"/>
          <w:sz w:val="18"/>
          <w:szCs w:val="18"/>
        </w:rPr>
        <w:t xml:space="preserve">, P.D., Dillon, J. and </w:t>
      </w:r>
      <w:proofErr w:type="spellStart"/>
      <w:r w:rsidRPr="00942D38">
        <w:rPr>
          <w:rFonts w:ascii="Segoe UI" w:hAnsi="Segoe UI" w:cs="Segoe UI"/>
          <w:sz w:val="18"/>
          <w:szCs w:val="18"/>
        </w:rPr>
        <w:t>Wismann</w:t>
      </w:r>
      <w:proofErr w:type="spellEnd"/>
      <w:r w:rsidRPr="00942D38">
        <w:rPr>
          <w:rFonts w:ascii="Segoe UI" w:hAnsi="Segoe UI" w:cs="Segoe UI"/>
          <w:sz w:val="18"/>
          <w:szCs w:val="18"/>
        </w:rPr>
        <w:t xml:space="preserve">, G. (2001). The impact of an air quality advisory program on voluntary mobile source air pollution reduction. </w:t>
      </w:r>
      <w:r w:rsidRPr="00942D38">
        <w:rPr>
          <w:rFonts w:ascii="Segoe UI" w:hAnsi="Segoe UI" w:cs="Segoe UI"/>
          <w:i/>
          <w:iCs/>
          <w:sz w:val="18"/>
          <w:szCs w:val="18"/>
        </w:rPr>
        <w:t>Atmospheric Environment</w:t>
      </w:r>
      <w:r w:rsidRPr="00942D38">
        <w:rPr>
          <w:rFonts w:ascii="Segoe UI" w:hAnsi="Segoe UI" w:cs="Segoe UI"/>
          <w:sz w:val="18"/>
          <w:szCs w:val="18"/>
        </w:rPr>
        <w:t xml:space="preserve"> 35(13), 2417-2421. </w:t>
      </w:r>
      <w:hyperlink r:id="rId22" w:history="1">
        <w:r w:rsidRPr="007317E4">
          <w:rPr>
            <w:rStyle w:val="Hyperlink"/>
            <w:rFonts w:ascii="Segoe UI" w:hAnsi="Segoe UI" w:cs="Segoe UI"/>
            <w:sz w:val="18"/>
            <w:szCs w:val="18"/>
          </w:rPr>
          <w:t>https://doi.org/10.1016/S1352-2310(00)00523-9</w:t>
        </w:r>
      </w:hyperlink>
      <w:r w:rsidRPr="00942D38">
        <w:rPr>
          <w:rFonts w:ascii="Segoe UI" w:hAnsi="Segoe UI" w:cs="Segoe UI"/>
          <w:sz w:val="18"/>
          <w:szCs w:val="18"/>
        </w:rPr>
        <w:t>.</w:t>
      </w:r>
      <w:r>
        <w:rPr>
          <w:rFonts w:ascii="Segoe UI" w:hAnsi="Segoe UI" w:cs="Segoe UI"/>
          <w:sz w:val="18"/>
          <w:szCs w:val="18"/>
        </w:rPr>
        <w:t xml:space="preserve"> </w:t>
      </w:r>
    </w:p>
    <w:p w14:paraId="61BF9D8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F0B084E" w14:textId="426A9894"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Bond, T.C., Doherty, S.J., Fahey, D.W., Forster, P.M., Berntsen, T., DeAngelo, B.J.</w:t>
      </w:r>
      <w:r w:rsidRPr="00942D38">
        <w:rPr>
          <w:rFonts w:ascii="Segoe UI" w:hAnsi="Segoe UI" w:cs="Segoe UI"/>
          <w:i/>
          <w:iCs/>
          <w:sz w:val="18"/>
          <w:szCs w:val="18"/>
        </w:rPr>
        <w:t xml:space="preserve"> et al.</w:t>
      </w:r>
      <w:r w:rsidRPr="00942D38">
        <w:rPr>
          <w:rFonts w:ascii="Segoe UI" w:hAnsi="Segoe UI" w:cs="Segoe UI"/>
          <w:sz w:val="18"/>
          <w:szCs w:val="18"/>
        </w:rPr>
        <w:t xml:space="preserve"> (2013). Bounding the role of black carbon in the climate system: A scientific assessment. 118(11), 5380-5552. </w:t>
      </w:r>
      <w:hyperlink r:id="rId23" w:history="1">
        <w:r w:rsidRPr="007317E4">
          <w:rPr>
            <w:rStyle w:val="Hyperlink"/>
            <w:rFonts w:ascii="Segoe UI" w:hAnsi="Segoe UI" w:cs="Segoe UI"/>
            <w:sz w:val="18"/>
            <w:szCs w:val="18"/>
          </w:rPr>
          <w:t>https://doi.org/10.1002/jgrd.50171</w:t>
        </w:r>
      </w:hyperlink>
      <w:r w:rsidRPr="00942D38">
        <w:rPr>
          <w:rFonts w:ascii="Segoe UI" w:hAnsi="Segoe UI" w:cs="Segoe UI"/>
          <w:sz w:val="18"/>
          <w:szCs w:val="18"/>
        </w:rPr>
        <w:t>.</w:t>
      </w:r>
      <w:r>
        <w:rPr>
          <w:rFonts w:ascii="Segoe UI" w:hAnsi="Segoe UI" w:cs="Segoe UI"/>
          <w:sz w:val="18"/>
          <w:szCs w:val="18"/>
        </w:rPr>
        <w:t xml:space="preserve"> </w:t>
      </w:r>
    </w:p>
    <w:p w14:paraId="354A5E0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105BCD0" w14:textId="6BAF8924"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Carbon Market Data (2018). </w:t>
      </w:r>
      <w:r w:rsidRPr="00942D38">
        <w:rPr>
          <w:rFonts w:ascii="Segoe UI" w:eastAsia="MS Mincho" w:hAnsi="Segoe UI" w:cs="Segoe UI"/>
          <w:i/>
          <w:iCs/>
          <w:sz w:val="18"/>
          <w:szCs w:val="18"/>
          <w:lang w:val="en-US"/>
        </w:rPr>
        <w:t>World carbon market database: A unique data platform covering the world's carbon trading markets</w:t>
      </w:r>
      <w:r w:rsidRPr="00942D38">
        <w:rPr>
          <w:rFonts w:ascii="Segoe UI" w:eastAsia="MS Mincho" w:hAnsi="Segoe UI" w:cs="Segoe UI"/>
          <w:sz w:val="18"/>
          <w:szCs w:val="18"/>
          <w:lang w:val="en-US"/>
        </w:rPr>
        <w:t xml:space="preserve">. </w:t>
      </w:r>
      <w:hyperlink r:id="rId24" w:history="1">
        <w:r w:rsidRPr="00942D38">
          <w:rPr>
            <w:rFonts w:ascii="Segoe UI" w:eastAsia="MS Mincho" w:hAnsi="Segoe UI" w:cs="Segoe UI"/>
            <w:sz w:val="18"/>
            <w:szCs w:val="18"/>
            <w:lang w:val="en-US"/>
          </w:rPr>
          <w:t>https://www.carbonmarketdata.com/en/products/world-ets-database/presentation</w:t>
        </w:r>
      </w:hyperlink>
      <w:r w:rsidRPr="00942D38">
        <w:rPr>
          <w:rFonts w:ascii="Segoe UI" w:eastAsia="MS Mincho" w:hAnsi="Segoe UI" w:cs="Segoe UI"/>
          <w:sz w:val="18"/>
          <w:szCs w:val="18"/>
          <w:lang w:val="en-US"/>
        </w:rPr>
        <w:t xml:space="preserve"> (Accessed: 4 November 2018).</w:t>
      </w:r>
    </w:p>
    <w:p w14:paraId="5429269E"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9BB57F0" w14:textId="36465E8C"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Cepeda, M., </w:t>
      </w:r>
      <w:proofErr w:type="spellStart"/>
      <w:r w:rsidRPr="00942D38">
        <w:rPr>
          <w:rFonts w:ascii="Segoe UI" w:hAnsi="Segoe UI" w:cs="Segoe UI"/>
          <w:sz w:val="18"/>
          <w:szCs w:val="18"/>
        </w:rPr>
        <w:t>Schoufour</w:t>
      </w:r>
      <w:proofErr w:type="spellEnd"/>
      <w:r w:rsidRPr="00942D38">
        <w:rPr>
          <w:rFonts w:ascii="Segoe UI" w:hAnsi="Segoe UI" w:cs="Segoe UI"/>
          <w:sz w:val="18"/>
          <w:szCs w:val="18"/>
        </w:rPr>
        <w:t>, J., Freak-</w:t>
      </w:r>
      <w:proofErr w:type="spellStart"/>
      <w:r w:rsidRPr="00942D38">
        <w:rPr>
          <w:rFonts w:ascii="Segoe UI" w:hAnsi="Segoe UI" w:cs="Segoe UI"/>
          <w:sz w:val="18"/>
          <w:szCs w:val="18"/>
        </w:rPr>
        <w:t>Poli</w:t>
      </w:r>
      <w:proofErr w:type="spellEnd"/>
      <w:r w:rsidRPr="00942D38">
        <w:rPr>
          <w:rFonts w:ascii="Segoe UI" w:hAnsi="Segoe UI" w:cs="Segoe UI"/>
          <w:sz w:val="18"/>
          <w:szCs w:val="18"/>
        </w:rPr>
        <w:t xml:space="preserve">, R., Koolhaas, C.M., Dhana, K., </w:t>
      </w:r>
      <w:proofErr w:type="spellStart"/>
      <w:r w:rsidRPr="00942D38">
        <w:rPr>
          <w:rFonts w:ascii="Segoe UI" w:hAnsi="Segoe UI" w:cs="Segoe UI"/>
          <w:sz w:val="18"/>
          <w:szCs w:val="18"/>
        </w:rPr>
        <w:t>Bramer</w:t>
      </w:r>
      <w:proofErr w:type="spellEnd"/>
      <w:r w:rsidRPr="00942D38">
        <w:rPr>
          <w:rFonts w:ascii="Segoe UI" w:hAnsi="Segoe UI" w:cs="Segoe UI"/>
          <w:sz w:val="18"/>
          <w:szCs w:val="18"/>
        </w:rPr>
        <w:t>, W.M.</w:t>
      </w:r>
      <w:r w:rsidRPr="00942D38">
        <w:rPr>
          <w:rFonts w:ascii="Segoe UI" w:hAnsi="Segoe UI" w:cs="Segoe UI"/>
          <w:i/>
          <w:iCs/>
          <w:sz w:val="18"/>
          <w:szCs w:val="18"/>
        </w:rPr>
        <w:t xml:space="preserve"> et al.</w:t>
      </w:r>
      <w:r w:rsidRPr="00942D38">
        <w:rPr>
          <w:rFonts w:ascii="Segoe UI" w:hAnsi="Segoe UI" w:cs="Segoe UI"/>
          <w:sz w:val="18"/>
          <w:szCs w:val="18"/>
        </w:rPr>
        <w:t xml:space="preserve"> (2017). Levels of ambient air pollution according to mode of transport: A systematic review. </w:t>
      </w:r>
      <w:r w:rsidRPr="00942D38">
        <w:rPr>
          <w:rFonts w:ascii="Segoe UI" w:hAnsi="Segoe UI" w:cs="Segoe UI"/>
          <w:i/>
          <w:iCs/>
          <w:sz w:val="18"/>
          <w:szCs w:val="18"/>
        </w:rPr>
        <w:t>The Lancet Public Health</w:t>
      </w:r>
      <w:r w:rsidRPr="00942D38">
        <w:rPr>
          <w:rFonts w:ascii="Segoe UI" w:hAnsi="Segoe UI" w:cs="Segoe UI"/>
          <w:sz w:val="18"/>
          <w:szCs w:val="18"/>
        </w:rPr>
        <w:t xml:space="preserve"> 2(1), e23-e34. </w:t>
      </w:r>
      <w:hyperlink r:id="rId25" w:history="1">
        <w:r w:rsidR="0091049A" w:rsidRPr="007317E4">
          <w:rPr>
            <w:rStyle w:val="Hyperlink"/>
            <w:rFonts w:ascii="Segoe UI" w:hAnsi="Segoe UI" w:cs="Segoe UI"/>
            <w:sz w:val="18"/>
            <w:szCs w:val="18"/>
          </w:rPr>
          <w:t>https://doi.org/10.1016/S2468-2667(16)30021-4</w:t>
        </w:r>
      </w:hyperlink>
      <w:r w:rsidRPr="00942D38">
        <w:rPr>
          <w:rFonts w:ascii="Segoe UI" w:hAnsi="Segoe UI" w:cs="Segoe UI"/>
          <w:sz w:val="18"/>
          <w:szCs w:val="18"/>
        </w:rPr>
        <w:t>.</w:t>
      </w:r>
      <w:r w:rsidR="0091049A">
        <w:rPr>
          <w:rFonts w:ascii="Segoe UI" w:hAnsi="Segoe UI" w:cs="Segoe UI"/>
          <w:sz w:val="18"/>
          <w:szCs w:val="18"/>
        </w:rPr>
        <w:t xml:space="preserve"> </w:t>
      </w:r>
    </w:p>
    <w:p w14:paraId="33295DA4" w14:textId="2B5F1365"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Pr>
          <w:rFonts w:ascii="Segoe UI" w:hAnsi="Segoe UI" w:cs="Segoe UI"/>
          <w:sz w:val="18"/>
          <w:szCs w:val="18"/>
        </w:rPr>
        <w:t xml:space="preserve"> </w:t>
      </w:r>
    </w:p>
    <w:p w14:paraId="54FA330B" w14:textId="378321BA"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European Commission (2015a). </w:t>
      </w:r>
      <w:r w:rsidRPr="00942D38">
        <w:rPr>
          <w:rFonts w:ascii="Segoe UI" w:eastAsia="MS Mincho" w:hAnsi="Segoe UI" w:cs="Segoe UI"/>
          <w:i/>
          <w:iCs/>
          <w:sz w:val="18"/>
          <w:szCs w:val="18"/>
          <w:lang w:val="en-US"/>
        </w:rPr>
        <w:t xml:space="preserve">Cost-benefit analysis of the CAFE </w:t>
      </w:r>
      <w:proofErr w:type="spellStart"/>
      <w:r w:rsidRPr="00942D38">
        <w:rPr>
          <w:rFonts w:ascii="Segoe UI" w:eastAsia="MS Mincho" w:hAnsi="Segoe UI" w:cs="Segoe UI"/>
          <w:i/>
          <w:iCs/>
          <w:sz w:val="18"/>
          <w:szCs w:val="18"/>
          <w:lang w:val="en-US"/>
        </w:rPr>
        <w:t>programme</w:t>
      </w:r>
      <w:proofErr w:type="spellEnd"/>
      <w:r w:rsidRPr="00942D38">
        <w:rPr>
          <w:rFonts w:ascii="Segoe UI" w:eastAsia="MS Mincho" w:hAnsi="Segoe UI" w:cs="Segoe UI"/>
          <w:sz w:val="18"/>
          <w:szCs w:val="18"/>
          <w:lang w:val="en-US"/>
        </w:rPr>
        <w:t xml:space="preserve">. </w:t>
      </w:r>
      <w:hyperlink r:id="rId26" w:history="1">
        <w:r w:rsidRPr="00942D38">
          <w:rPr>
            <w:rFonts w:ascii="Segoe UI" w:eastAsia="MS Mincho" w:hAnsi="Segoe UI" w:cs="Segoe UI"/>
            <w:sz w:val="18"/>
            <w:szCs w:val="18"/>
            <w:lang w:val="en-US"/>
          </w:rPr>
          <w:t>http://ec.europa.eu/environment/archives/cafe/activities/cba.htm</w:t>
        </w:r>
      </w:hyperlink>
      <w:r w:rsidRPr="00942D38">
        <w:rPr>
          <w:rFonts w:ascii="Segoe UI" w:eastAsia="MS Mincho" w:hAnsi="Segoe UI" w:cs="Segoe UI"/>
          <w:sz w:val="18"/>
          <w:szCs w:val="18"/>
          <w:lang w:val="en-US"/>
        </w:rPr>
        <w:t xml:space="preserve"> (Accessed: 4 November 2018).</w:t>
      </w:r>
    </w:p>
    <w:p w14:paraId="1D851E5D" w14:textId="77777777"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p>
    <w:p w14:paraId="16EAA8CF" w14:textId="66553F9B"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Commission (2015b). </w:t>
      </w:r>
      <w:r w:rsidRPr="00942D38">
        <w:rPr>
          <w:rFonts w:ascii="Segoe UI" w:hAnsi="Segoe UI" w:cs="Segoe UI"/>
          <w:i/>
          <w:iCs/>
          <w:sz w:val="18"/>
          <w:szCs w:val="18"/>
        </w:rPr>
        <w:t>Evaluation of Regulations 443/2009 and 510/2011 on CO</w:t>
      </w:r>
      <w:r w:rsidRPr="00942D38">
        <w:rPr>
          <w:rFonts w:ascii="Segoe UI" w:hAnsi="Segoe UI" w:cs="Segoe UI"/>
          <w:i/>
          <w:iCs/>
          <w:sz w:val="18"/>
          <w:szCs w:val="18"/>
          <w:vertAlign w:val="subscript"/>
        </w:rPr>
        <w:t>2</w:t>
      </w:r>
      <w:r w:rsidRPr="00942D38">
        <w:rPr>
          <w:rFonts w:ascii="Segoe UI" w:hAnsi="Segoe UI" w:cs="Segoe UI"/>
          <w:i/>
          <w:iCs/>
          <w:sz w:val="18"/>
          <w:szCs w:val="18"/>
        </w:rPr>
        <w:t xml:space="preserve"> Emissions from Light-Duty Vehicles: Final Report.</w:t>
      </w:r>
      <w:r w:rsidRPr="00942D38">
        <w:rPr>
          <w:rFonts w:ascii="Segoe UI" w:hAnsi="Segoe UI" w:cs="Segoe UI"/>
          <w:sz w:val="18"/>
          <w:szCs w:val="18"/>
        </w:rPr>
        <w:t xml:space="preserve"> </w:t>
      </w:r>
      <w:hyperlink r:id="rId27" w:history="1">
        <w:r w:rsidRPr="007317E4">
          <w:rPr>
            <w:rStyle w:val="Hyperlink"/>
            <w:rFonts w:ascii="Segoe UI" w:hAnsi="Segoe UI" w:cs="Segoe UI"/>
            <w:sz w:val="18"/>
            <w:szCs w:val="18"/>
          </w:rPr>
          <w:t>https://ec.europa.eu/clima/sites/clima/files/transport/vehicles/docs/evaluation_ldv_co2_regs_en.pdf</w:t>
        </w:r>
      </w:hyperlink>
      <w:r w:rsidRPr="00942D38">
        <w:rPr>
          <w:rFonts w:ascii="Segoe UI" w:hAnsi="Segoe UI" w:cs="Segoe UI"/>
          <w:sz w:val="18"/>
          <w:szCs w:val="18"/>
        </w:rPr>
        <w:t>.</w:t>
      </w:r>
      <w:r>
        <w:rPr>
          <w:rFonts w:ascii="Segoe UI" w:hAnsi="Segoe UI" w:cs="Segoe UI"/>
          <w:sz w:val="18"/>
          <w:szCs w:val="18"/>
        </w:rPr>
        <w:t xml:space="preserve"> </w:t>
      </w:r>
    </w:p>
    <w:p w14:paraId="435ACA91" w14:textId="77777777"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p>
    <w:p w14:paraId="0D19ED74" w14:textId="3CB1AE5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Commission (2018a). </w:t>
      </w:r>
      <w:r w:rsidRPr="00942D38">
        <w:rPr>
          <w:rFonts w:ascii="Segoe UI" w:hAnsi="Segoe UI" w:cs="Segoe UI"/>
          <w:i/>
          <w:iCs/>
          <w:sz w:val="18"/>
          <w:szCs w:val="18"/>
        </w:rPr>
        <w:t>EU emissions trading system (EU ETS)</w:t>
      </w:r>
      <w:r w:rsidRPr="00942D38">
        <w:rPr>
          <w:rFonts w:ascii="Segoe UI" w:hAnsi="Segoe UI" w:cs="Segoe UI"/>
          <w:sz w:val="18"/>
          <w:szCs w:val="18"/>
        </w:rPr>
        <w:t>. https://ec.europa.eu/clima/policies/ets_en (Accessed: 10 October 2018).</w:t>
      </w:r>
    </w:p>
    <w:p w14:paraId="36B7274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B6A81BF" w14:textId="077939CA" w:rsidR="00942D38" w:rsidRPr="00942D38" w:rsidRDefault="00942D38" w:rsidP="00942D38">
      <w:pPr>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European Commission (2018b). </w:t>
      </w:r>
      <w:r w:rsidRPr="00942D38">
        <w:rPr>
          <w:rFonts w:ascii="Segoe UI" w:eastAsia="MS Mincho" w:hAnsi="Segoe UI" w:cs="Segoe UI"/>
          <w:i/>
          <w:iCs/>
          <w:sz w:val="18"/>
          <w:szCs w:val="18"/>
          <w:lang w:val="en-US"/>
        </w:rPr>
        <w:t>The industrial emissions directive: Summary of directive 2010/75/EU on industrial emissions (integrated pollution prevention and control)</w:t>
      </w:r>
      <w:r w:rsidRPr="00942D38">
        <w:rPr>
          <w:rFonts w:ascii="Segoe UI" w:eastAsia="MS Mincho" w:hAnsi="Segoe UI" w:cs="Segoe UI"/>
          <w:sz w:val="18"/>
          <w:szCs w:val="18"/>
          <w:lang w:val="en-US"/>
        </w:rPr>
        <w:t xml:space="preserve">. </w:t>
      </w:r>
      <w:hyperlink r:id="rId28" w:history="1">
        <w:r w:rsidRPr="00942D38">
          <w:rPr>
            <w:rFonts w:ascii="Segoe UI" w:eastAsia="MS Mincho" w:hAnsi="Segoe UI" w:cs="Segoe UI"/>
            <w:sz w:val="18"/>
            <w:szCs w:val="18"/>
            <w:lang w:val="en-US"/>
          </w:rPr>
          <w:t>http://ec.europa.eu/environment/industry/stationary/ied/legislation.htm</w:t>
        </w:r>
      </w:hyperlink>
      <w:r w:rsidRPr="00942D38">
        <w:rPr>
          <w:rFonts w:ascii="Segoe UI" w:eastAsia="MS Mincho" w:hAnsi="Segoe UI" w:cs="Segoe UI"/>
          <w:sz w:val="18"/>
          <w:szCs w:val="18"/>
          <w:lang w:val="en-US"/>
        </w:rPr>
        <w:t xml:space="preserve"> (Accessed: 4 November 2018).</w:t>
      </w:r>
    </w:p>
    <w:p w14:paraId="300043A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52FE0D1" w14:textId="3B583C6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Environment Agency (2015). </w:t>
      </w:r>
      <w:r w:rsidRPr="00942D38">
        <w:rPr>
          <w:rFonts w:ascii="Segoe UI" w:hAnsi="Segoe UI" w:cs="Segoe UI"/>
          <w:i/>
          <w:iCs/>
          <w:sz w:val="18"/>
          <w:szCs w:val="18"/>
        </w:rPr>
        <w:t>Evaluating 15 Years of Transport and Environmental Policy Integration Term 2015: Transport Indicators Tracking Progress Towards Environmental Targets in Europe.</w:t>
      </w:r>
      <w:r w:rsidRPr="00942D38">
        <w:rPr>
          <w:rFonts w:ascii="Segoe UI" w:hAnsi="Segoe UI" w:cs="Segoe UI"/>
          <w:sz w:val="18"/>
          <w:szCs w:val="18"/>
        </w:rPr>
        <w:t xml:space="preserve"> Copenhagen. </w:t>
      </w:r>
      <w:hyperlink r:id="rId29" w:history="1">
        <w:r w:rsidRPr="007317E4">
          <w:rPr>
            <w:rStyle w:val="Hyperlink"/>
            <w:rFonts w:ascii="Segoe UI" w:hAnsi="Segoe UI" w:cs="Segoe UI"/>
            <w:sz w:val="18"/>
            <w:szCs w:val="18"/>
          </w:rPr>
          <w:t>https://www.eea.europa.eu/publications/term-report-2015/download</w:t>
        </w:r>
      </w:hyperlink>
      <w:r w:rsidRPr="00942D38">
        <w:rPr>
          <w:rFonts w:ascii="Segoe UI" w:hAnsi="Segoe UI" w:cs="Segoe UI"/>
          <w:sz w:val="18"/>
          <w:szCs w:val="18"/>
        </w:rPr>
        <w:t>.</w:t>
      </w:r>
      <w:r>
        <w:rPr>
          <w:rFonts w:ascii="Segoe UI" w:hAnsi="Segoe UI" w:cs="Segoe UI"/>
          <w:sz w:val="18"/>
          <w:szCs w:val="18"/>
        </w:rPr>
        <w:t xml:space="preserve"> </w:t>
      </w:r>
    </w:p>
    <w:p w14:paraId="68D07D87"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16C8873" w14:textId="124BB9F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Environment Agency (2016a). </w:t>
      </w:r>
      <w:r w:rsidRPr="00942D38">
        <w:rPr>
          <w:rFonts w:ascii="Segoe UI" w:hAnsi="Segoe UI" w:cs="Segoe UI"/>
          <w:i/>
          <w:iCs/>
          <w:sz w:val="18"/>
          <w:szCs w:val="18"/>
        </w:rPr>
        <w:t>Air Quality in Europe: 2016 Report.</w:t>
      </w:r>
      <w:r w:rsidRPr="00942D38">
        <w:rPr>
          <w:rFonts w:ascii="Segoe UI" w:hAnsi="Segoe UI" w:cs="Segoe UI"/>
          <w:sz w:val="18"/>
          <w:szCs w:val="18"/>
        </w:rPr>
        <w:t xml:space="preserve"> Copenhagen. </w:t>
      </w:r>
      <w:hyperlink r:id="rId30" w:history="1">
        <w:r w:rsidRPr="007317E4">
          <w:rPr>
            <w:rStyle w:val="Hyperlink"/>
            <w:rFonts w:ascii="Segoe UI" w:hAnsi="Segoe UI" w:cs="Segoe UI"/>
            <w:sz w:val="18"/>
            <w:szCs w:val="18"/>
          </w:rPr>
          <w:t>https://www.eea.europa.eu/publications/air-quality-in-europe-2016/at_download/file</w:t>
        </w:r>
      </w:hyperlink>
      <w:r w:rsidRPr="00942D38">
        <w:rPr>
          <w:rFonts w:ascii="Segoe UI" w:hAnsi="Segoe UI" w:cs="Segoe UI"/>
          <w:sz w:val="18"/>
          <w:szCs w:val="18"/>
        </w:rPr>
        <w:t>.</w:t>
      </w:r>
      <w:r>
        <w:rPr>
          <w:rFonts w:ascii="Segoe UI" w:hAnsi="Segoe UI" w:cs="Segoe UI"/>
          <w:sz w:val="18"/>
          <w:szCs w:val="18"/>
        </w:rPr>
        <w:t xml:space="preserve"> </w:t>
      </w:r>
    </w:p>
    <w:p w14:paraId="5BBB668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F598FE7" w14:textId="6C972CB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Environment Agency (2016b). </w:t>
      </w:r>
      <w:r w:rsidRPr="00942D38">
        <w:rPr>
          <w:rFonts w:ascii="Segoe UI" w:hAnsi="Segoe UI" w:cs="Segoe UI"/>
          <w:i/>
          <w:iCs/>
          <w:sz w:val="18"/>
          <w:szCs w:val="18"/>
        </w:rPr>
        <w:t xml:space="preserve">Explaining Road Transport Emissions: A </w:t>
      </w:r>
      <w:proofErr w:type="spellStart"/>
      <w:r w:rsidRPr="00942D38">
        <w:rPr>
          <w:rFonts w:ascii="Segoe UI" w:hAnsi="Segoe UI" w:cs="Segoe UI"/>
          <w:i/>
          <w:iCs/>
          <w:sz w:val="18"/>
          <w:szCs w:val="18"/>
        </w:rPr>
        <w:t>NonTechnical</w:t>
      </w:r>
      <w:proofErr w:type="spellEnd"/>
      <w:r w:rsidRPr="00942D38">
        <w:rPr>
          <w:rFonts w:ascii="Segoe UI" w:hAnsi="Segoe UI" w:cs="Segoe UI"/>
          <w:i/>
          <w:iCs/>
          <w:sz w:val="18"/>
          <w:szCs w:val="18"/>
        </w:rPr>
        <w:t xml:space="preserve"> Guide.</w:t>
      </w:r>
      <w:r w:rsidRPr="00942D38">
        <w:rPr>
          <w:rFonts w:ascii="Segoe UI" w:hAnsi="Segoe UI" w:cs="Segoe UI"/>
          <w:sz w:val="18"/>
          <w:szCs w:val="18"/>
        </w:rPr>
        <w:t xml:space="preserve"> Copenhagen. </w:t>
      </w:r>
      <w:hyperlink r:id="rId31" w:history="1">
        <w:r w:rsidRPr="007317E4">
          <w:rPr>
            <w:rStyle w:val="Hyperlink"/>
            <w:rFonts w:ascii="Segoe UI" w:hAnsi="Segoe UI" w:cs="Segoe UI"/>
            <w:sz w:val="18"/>
            <w:szCs w:val="18"/>
          </w:rPr>
          <w:t>https://www.eea.europa.eu/publications/explaining-road-transport-emissions/at_download/file</w:t>
        </w:r>
      </w:hyperlink>
      <w:r w:rsidRPr="00942D38">
        <w:rPr>
          <w:rFonts w:ascii="Segoe UI" w:hAnsi="Segoe UI" w:cs="Segoe UI"/>
          <w:sz w:val="18"/>
          <w:szCs w:val="18"/>
        </w:rPr>
        <w:t>.</w:t>
      </w:r>
      <w:r>
        <w:rPr>
          <w:rFonts w:ascii="Segoe UI" w:hAnsi="Segoe UI" w:cs="Segoe UI"/>
          <w:sz w:val="18"/>
          <w:szCs w:val="18"/>
        </w:rPr>
        <w:t xml:space="preserve"> </w:t>
      </w:r>
    </w:p>
    <w:p w14:paraId="69F26D9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463A13D" w14:textId="23C0F285"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lastRenderedPageBreak/>
        <w:t xml:space="preserve">European Environment Agency (2017). </w:t>
      </w:r>
      <w:r w:rsidRPr="00942D38">
        <w:rPr>
          <w:rFonts w:ascii="Segoe UI" w:hAnsi="Segoe UI" w:cs="Segoe UI"/>
          <w:i/>
          <w:iCs/>
          <w:sz w:val="18"/>
          <w:szCs w:val="18"/>
        </w:rPr>
        <w:t>Air quality in Europe: 2017 report.</w:t>
      </w:r>
      <w:r w:rsidRPr="00942D38">
        <w:rPr>
          <w:rFonts w:ascii="Segoe UI" w:hAnsi="Segoe UI" w:cs="Segoe UI"/>
          <w:sz w:val="18"/>
          <w:szCs w:val="18"/>
        </w:rPr>
        <w:t xml:space="preserve"> Copenhagen. </w:t>
      </w:r>
      <w:hyperlink r:id="rId32" w:history="1">
        <w:r w:rsidRPr="007317E4">
          <w:rPr>
            <w:rStyle w:val="Hyperlink"/>
            <w:rFonts w:ascii="Segoe UI" w:hAnsi="Segoe UI" w:cs="Segoe UI"/>
            <w:sz w:val="18"/>
            <w:szCs w:val="18"/>
          </w:rPr>
          <w:t>https://www.eea.europa.eu/publications/air-quality-in-europe-2017/at_download/file</w:t>
        </w:r>
      </w:hyperlink>
      <w:r w:rsidRPr="00942D38">
        <w:rPr>
          <w:rFonts w:ascii="Segoe UI" w:hAnsi="Segoe UI" w:cs="Segoe UI"/>
          <w:sz w:val="18"/>
          <w:szCs w:val="18"/>
        </w:rPr>
        <w:t>.</w:t>
      </w:r>
      <w:r>
        <w:rPr>
          <w:rFonts w:ascii="Segoe UI" w:hAnsi="Segoe UI" w:cs="Segoe UI"/>
          <w:sz w:val="18"/>
          <w:szCs w:val="18"/>
        </w:rPr>
        <w:t xml:space="preserve"> </w:t>
      </w:r>
    </w:p>
    <w:p w14:paraId="4D2D510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E8AC918" w14:textId="4125ADE4"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Union 2015/1185 (2015). Directive 2009/125/EC of the European Parliament and of the Council with Regard to </w:t>
      </w:r>
      <w:proofErr w:type="spellStart"/>
      <w:r w:rsidRPr="00942D38">
        <w:rPr>
          <w:rFonts w:ascii="Segoe UI" w:hAnsi="Segoe UI" w:cs="Segoe UI"/>
          <w:sz w:val="18"/>
          <w:szCs w:val="18"/>
        </w:rPr>
        <w:t>Ecodesign</w:t>
      </w:r>
      <w:proofErr w:type="spellEnd"/>
      <w:r w:rsidRPr="00942D38">
        <w:rPr>
          <w:rFonts w:ascii="Segoe UI" w:hAnsi="Segoe UI" w:cs="Segoe UI"/>
          <w:sz w:val="18"/>
          <w:szCs w:val="18"/>
        </w:rPr>
        <w:t xml:space="preserve"> Requirements for Solid Fuel Local Space Heaters Union, E., 1-19 </w:t>
      </w:r>
      <w:hyperlink r:id="rId33" w:history="1">
        <w:r w:rsidRPr="007317E4">
          <w:rPr>
            <w:rStyle w:val="Hyperlink"/>
            <w:rFonts w:ascii="Segoe UI" w:hAnsi="Segoe UI" w:cs="Segoe UI"/>
            <w:sz w:val="18"/>
            <w:szCs w:val="18"/>
          </w:rPr>
          <w:t>https://eur-lex.europa.eu/legal-content/EN/TXT/PDF/?uri=CELEX:32015R1185&amp;from=EN</w:t>
        </w:r>
      </w:hyperlink>
      <w:r>
        <w:rPr>
          <w:rFonts w:ascii="Segoe UI" w:hAnsi="Segoe UI" w:cs="Segoe UI"/>
          <w:sz w:val="18"/>
          <w:szCs w:val="18"/>
        </w:rPr>
        <w:t xml:space="preserve"> </w:t>
      </w:r>
    </w:p>
    <w:p w14:paraId="0D517D1B"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A39310E" w14:textId="22288DC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European Union (2016). Commission Regulation (EU) 2016/427 of 10 March 2016 amending Regulation (EC) No 692/2008 as Regards Emissions from Light Passenger and Commercial Vehicles (Euro 6) (Text with EEA relevance).  </w:t>
      </w:r>
      <w:hyperlink r:id="rId34" w:history="1">
        <w:r w:rsidRPr="007317E4">
          <w:rPr>
            <w:rStyle w:val="Hyperlink"/>
            <w:rFonts w:ascii="Segoe UI" w:hAnsi="Segoe UI" w:cs="Segoe UI"/>
            <w:sz w:val="18"/>
            <w:szCs w:val="18"/>
          </w:rPr>
          <w:t>https://eur-lex.europa.eu/legal-content/EN/TXT/?uri=CELEX%3A32016R0427</w:t>
        </w:r>
      </w:hyperlink>
      <w:r>
        <w:rPr>
          <w:rFonts w:ascii="Segoe UI" w:hAnsi="Segoe UI" w:cs="Segoe UI"/>
          <w:sz w:val="18"/>
          <w:szCs w:val="18"/>
        </w:rPr>
        <w:t xml:space="preserve"> </w:t>
      </w:r>
    </w:p>
    <w:p w14:paraId="4F1B9B0F"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1187865" w14:textId="4297C49C"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Food and Agriculture Organization of the United Nations (2016). </w:t>
      </w:r>
      <w:r w:rsidRPr="00942D38">
        <w:rPr>
          <w:rFonts w:ascii="Segoe UI" w:hAnsi="Segoe UI" w:cs="Segoe UI"/>
          <w:i/>
          <w:iCs/>
          <w:sz w:val="18"/>
          <w:szCs w:val="18"/>
        </w:rPr>
        <w:t>FAOSTAT: Food and Agriculture Data.</w:t>
      </w:r>
      <w:r w:rsidRPr="00942D38">
        <w:rPr>
          <w:rFonts w:ascii="Segoe UI" w:hAnsi="Segoe UI" w:cs="Segoe UI"/>
          <w:sz w:val="18"/>
          <w:szCs w:val="18"/>
        </w:rPr>
        <w:t xml:space="preserve"> </w:t>
      </w:r>
      <w:hyperlink r:id="rId35" w:anchor="data" w:history="1">
        <w:r w:rsidRPr="007317E4">
          <w:rPr>
            <w:rStyle w:val="Hyperlink"/>
            <w:rFonts w:ascii="Segoe UI" w:hAnsi="Segoe UI" w:cs="Segoe UI"/>
            <w:sz w:val="18"/>
            <w:szCs w:val="18"/>
          </w:rPr>
          <w:t>http://www.fao.org/faostat/en/#data</w:t>
        </w:r>
      </w:hyperlink>
      <w:r w:rsidRPr="00942D38">
        <w:rPr>
          <w:rFonts w:ascii="Segoe UI" w:hAnsi="Segoe UI" w:cs="Segoe UI"/>
          <w:sz w:val="18"/>
          <w:szCs w:val="18"/>
        </w:rPr>
        <w:t>.</w:t>
      </w:r>
      <w:r>
        <w:rPr>
          <w:rFonts w:ascii="Segoe UI" w:hAnsi="Segoe UI" w:cs="Segoe UI"/>
          <w:sz w:val="18"/>
          <w:szCs w:val="18"/>
        </w:rPr>
        <w:t xml:space="preserve"> </w:t>
      </w:r>
    </w:p>
    <w:p w14:paraId="52CFB4C0"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555FF8C" w14:textId="208CEB1D"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Franco, V., Sánchez, F.P., German, J. and Mock, P. (2014). </w:t>
      </w:r>
      <w:r w:rsidRPr="00942D38">
        <w:rPr>
          <w:rFonts w:ascii="Segoe UI" w:hAnsi="Segoe UI" w:cs="Segoe UI"/>
          <w:i/>
          <w:iCs/>
          <w:sz w:val="18"/>
          <w:szCs w:val="18"/>
        </w:rPr>
        <w:t>Real-World Exhaust Emissions from Modern Diesel Cars - A Meta-Analysis of PEMS Emissions Data from EU (Euro 6) and US (Tier 2 Bin 5/ULEV II) Diesel Passenger Cars. Part 1: Aggregated Results.</w:t>
      </w:r>
      <w:r w:rsidRPr="00942D38">
        <w:rPr>
          <w:rFonts w:ascii="Segoe UI" w:hAnsi="Segoe UI" w:cs="Segoe UI"/>
          <w:sz w:val="18"/>
          <w:szCs w:val="18"/>
        </w:rPr>
        <w:t xml:space="preserve"> Berlin: International Council on Clean Transportation. </w:t>
      </w:r>
      <w:hyperlink r:id="rId36" w:history="1">
        <w:r w:rsidRPr="007317E4">
          <w:rPr>
            <w:rStyle w:val="Hyperlink"/>
            <w:rFonts w:ascii="Segoe UI" w:hAnsi="Segoe UI" w:cs="Segoe UI"/>
            <w:sz w:val="18"/>
            <w:szCs w:val="18"/>
          </w:rPr>
          <w:t>https://www.theicct.org/sites/default/files/publications/ICCT_PEMS-study_diesel-cars_20141010.pdf</w:t>
        </w:r>
      </w:hyperlink>
      <w:r w:rsidRPr="00942D38">
        <w:rPr>
          <w:rFonts w:ascii="Segoe UI" w:hAnsi="Segoe UI" w:cs="Segoe UI"/>
          <w:sz w:val="18"/>
          <w:szCs w:val="18"/>
        </w:rPr>
        <w:t>.</w:t>
      </w:r>
      <w:r>
        <w:rPr>
          <w:rFonts w:ascii="Segoe UI" w:hAnsi="Segoe UI" w:cs="Segoe UI"/>
          <w:sz w:val="18"/>
          <w:szCs w:val="18"/>
        </w:rPr>
        <w:t xml:space="preserve"> </w:t>
      </w:r>
    </w:p>
    <w:p w14:paraId="4F395083"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4D28356" w14:textId="3ACDB288"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Gignac, R. and Matthews, H.D. (2015). Allocating a 2 °C cumulative carbon budget to countries. </w:t>
      </w:r>
      <w:r w:rsidRPr="00942D38">
        <w:rPr>
          <w:rFonts w:ascii="Segoe UI" w:hAnsi="Segoe UI" w:cs="Segoe UI"/>
          <w:i/>
          <w:iCs/>
          <w:sz w:val="18"/>
          <w:szCs w:val="18"/>
        </w:rPr>
        <w:t>Environmental Research Letters</w:t>
      </w:r>
      <w:r w:rsidRPr="00942D38">
        <w:rPr>
          <w:rFonts w:ascii="Segoe UI" w:hAnsi="Segoe UI" w:cs="Segoe UI"/>
          <w:sz w:val="18"/>
          <w:szCs w:val="18"/>
        </w:rPr>
        <w:t xml:space="preserve"> 10(7), 075004. </w:t>
      </w:r>
      <w:hyperlink r:id="rId37" w:history="1">
        <w:r w:rsidRPr="007317E4">
          <w:rPr>
            <w:rStyle w:val="Hyperlink"/>
            <w:rFonts w:ascii="Segoe UI" w:hAnsi="Segoe UI" w:cs="Segoe UI"/>
            <w:sz w:val="18"/>
            <w:szCs w:val="18"/>
          </w:rPr>
          <w:t>https://doi.org/10.1088/1748-9326/10/7/075004</w:t>
        </w:r>
      </w:hyperlink>
      <w:r w:rsidRPr="00942D38">
        <w:rPr>
          <w:rFonts w:ascii="Segoe UI" w:hAnsi="Segoe UI" w:cs="Segoe UI"/>
          <w:sz w:val="18"/>
          <w:szCs w:val="18"/>
        </w:rPr>
        <w:t>.</w:t>
      </w:r>
      <w:r>
        <w:rPr>
          <w:rFonts w:ascii="Segoe UI" w:hAnsi="Segoe UI" w:cs="Segoe UI"/>
          <w:sz w:val="18"/>
          <w:szCs w:val="18"/>
        </w:rPr>
        <w:t xml:space="preserve"> </w:t>
      </w:r>
    </w:p>
    <w:p w14:paraId="7B055A9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771900D" w14:textId="45E3A7E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Global Alliance for Clean Cookstoves (2012a). </w:t>
      </w:r>
      <w:r w:rsidRPr="00942D38">
        <w:rPr>
          <w:rFonts w:ascii="Segoe UI" w:hAnsi="Segoe UI" w:cs="Segoe UI"/>
          <w:i/>
          <w:iCs/>
          <w:sz w:val="18"/>
          <w:szCs w:val="18"/>
        </w:rPr>
        <w:t>East Africa Regional Analysis.</w:t>
      </w:r>
      <w:r w:rsidRPr="00942D38">
        <w:rPr>
          <w:rFonts w:ascii="Segoe UI" w:hAnsi="Segoe UI" w:cs="Segoe UI"/>
          <w:sz w:val="18"/>
          <w:szCs w:val="18"/>
        </w:rPr>
        <w:t xml:space="preserve"> Washington, D.C: Global Alliance for Clean Cookstoves. </w:t>
      </w:r>
      <w:hyperlink r:id="rId38" w:history="1">
        <w:r w:rsidRPr="007317E4">
          <w:rPr>
            <w:rStyle w:val="Hyperlink"/>
            <w:rFonts w:ascii="Segoe UI" w:hAnsi="Segoe UI" w:cs="Segoe UI"/>
            <w:sz w:val="18"/>
            <w:szCs w:val="18"/>
          </w:rPr>
          <w:t>http://cleancookstoves.org/binary-data/RESOURCE/file/000/000/158-1.pdf</w:t>
        </w:r>
      </w:hyperlink>
      <w:r w:rsidRPr="00942D38">
        <w:rPr>
          <w:rFonts w:ascii="Segoe UI" w:hAnsi="Segoe UI" w:cs="Segoe UI"/>
          <w:sz w:val="18"/>
          <w:szCs w:val="18"/>
        </w:rPr>
        <w:t>.</w:t>
      </w:r>
      <w:r>
        <w:rPr>
          <w:rFonts w:ascii="Segoe UI" w:hAnsi="Segoe UI" w:cs="Segoe UI"/>
          <w:sz w:val="18"/>
          <w:szCs w:val="18"/>
        </w:rPr>
        <w:t xml:space="preserve"> </w:t>
      </w:r>
    </w:p>
    <w:p w14:paraId="7AB00EE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F396985" w14:textId="2E00279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Global Alliance for Clean Cookstoves (2012b). </w:t>
      </w:r>
      <w:r w:rsidRPr="00942D38">
        <w:rPr>
          <w:rFonts w:ascii="Segoe UI" w:hAnsi="Segoe UI" w:cs="Segoe UI"/>
          <w:i/>
          <w:iCs/>
          <w:sz w:val="18"/>
          <w:szCs w:val="18"/>
        </w:rPr>
        <w:t>Global Alliance for Clean Cookstoves: Kenya Market Assessment. Sector Mapping.</w:t>
      </w:r>
      <w:r w:rsidRPr="00942D38">
        <w:rPr>
          <w:rFonts w:ascii="Segoe UI" w:hAnsi="Segoe UI" w:cs="Segoe UI"/>
          <w:sz w:val="18"/>
          <w:szCs w:val="18"/>
        </w:rPr>
        <w:t xml:space="preserve"> </w:t>
      </w:r>
      <w:hyperlink r:id="rId39" w:history="1">
        <w:r w:rsidRPr="007317E4">
          <w:rPr>
            <w:rStyle w:val="Hyperlink"/>
            <w:rFonts w:ascii="Segoe UI" w:hAnsi="Segoe UI" w:cs="Segoe UI"/>
            <w:sz w:val="18"/>
            <w:szCs w:val="18"/>
          </w:rPr>
          <w:t>http://cleancookstoves.org/resources_files/kenya-market-assessment-mapping.pdf</w:t>
        </w:r>
      </w:hyperlink>
      <w:r w:rsidRPr="00942D38">
        <w:rPr>
          <w:rFonts w:ascii="Segoe UI" w:hAnsi="Segoe UI" w:cs="Segoe UI"/>
          <w:sz w:val="18"/>
          <w:szCs w:val="18"/>
        </w:rPr>
        <w:t>.</w:t>
      </w:r>
      <w:r>
        <w:rPr>
          <w:rFonts w:ascii="Segoe UI" w:hAnsi="Segoe UI" w:cs="Segoe UI"/>
          <w:sz w:val="18"/>
          <w:szCs w:val="18"/>
        </w:rPr>
        <w:t xml:space="preserve"> </w:t>
      </w:r>
    </w:p>
    <w:p w14:paraId="689201D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45D4582" w14:textId="76C674B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Global Alliance for Clean Cookstoves (2013). </w:t>
      </w:r>
      <w:r w:rsidRPr="00942D38">
        <w:rPr>
          <w:rFonts w:ascii="Segoe UI" w:hAnsi="Segoe UI" w:cs="Segoe UI"/>
          <w:i/>
          <w:iCs/>
          <w:sz w:val="18"/>
          <w:szCs w:val="18"/>
        </w:rPr>
        <w:t>Kenya Country Action Plan (CAP) 2013.</w:t>
      </w:r>
      <w:r w:rsidRPr="00942D38">
        <w:rPr>
          <w:rFonts w:ascii="Segoe UI" w:hAnsi="Segoe UI" w:cs="Segoe UI"/>
          <w:sz w:val="18"/>
          <w:szCs w:val="18"/>
        </w:rPr>
        <w:t xml:space="preserve"> </w:t>
      </w:r>
      <w:hyperlink r:id="rId40" w:history="1">
        <w:r w:rsidRPr="007317E4">
          <w:rPr>
            <w:rStyle w:val="Hyperlink"/>
            <w:rFonts w:ascii="Segoe UI" w:hAnsi="Segoe UI" w:cs="Segoe UI"/>
            <w:sz w:val="18"/>
            <w:szCs w:val="18"/>
          </w:rPr>
          <w:t>http://cleancookstoves.org/resources_files/kenya-country-action-plan.pdf</w:t>
        </w:r>
      </w:hyperlink>
      <w:r w:rsidRPr="00942D38">
        <w:rPr>
          <w:rFonts w:ascii="Segoe UI" w:hAnsi="Segoe UI" w:cs="Segoe UI"/>
          <w:sz w:val="18"/>
          <w:szCs w:val="18"/>
        </w:rPr>
        <w:t>.</w:t>
      </w:r>
      <w:r>
        <w:rPr>
          <w:rFonts w:ascii="Segoe UI" w:hAnsi="Segoe UI" w:cs="Segoe UI"/>
          <w:sz w:val="18"/>
          <w:szCs w:val="18"/>
        </w:rPr>
        <w:t xml:space="preserve"> </w:t>
      </w:r>
    </w:p>
    <w:p w14:paraId="4940731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88C9558" w14:textId="50AA9E1F"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Global Alliance for Clean Cookstoves (2016). </w:t>
      </w:r>
      <w:r w:rsidRPr="00942D38">
        <w:rPr>
          <w:rFonts w:ascii="Segoe UI" w:eastAsia="MS Mincho" w:hAnsi="Segoe UI" w:cs="Segoe UI"/>
          <w:i/>
          <w:iCs/>
          <w:sz w:val="18"/>
          <w:szCs w:val="18"/>
          <w:lang w:val="en-US"/>
        </w:rPr>
        <w:t>Kenya: Overview and country statistics</w:t>
      </w:r>
      <w:r w:rsidRPr="00942D38">
        <w:rPr>
          <w:rFonts w:ascii="Segoe UI" w:eastAsia="MS Mincho" w:hAnsi="Segoe UI" w:cs="Segoe UI"/>
          <w:sz w:val="18"/>
          <w:szCs w:val="18"/>
          <w:lang w:val="en-US"/>
        </w:rPr>
        <w:t xml:space="preserve">. </w:t>
      </w:r>
      <w:hyperlink r:id="rId41" w:history="1">
        <w:r w:rsidRPr="00942D38">
          <w:rPr>
            <w:rFonts w:ascii="Segoe UI" w:eastAsia="MS Mincho" w:hAnsi="Segoe UI" w:cs="Segoe UI"/>
            <w:sz w:val="18"/>
            <w:szCs w:val="18"/>
            <w:lang w:val="en-US"/>
          </w:rPr>
          <w:t>http://cleancookstoves.org/country-profiles/focus-countries/4-kenya.html</w:t>
        </w:r>
      </w:hyperlink>
      <w:r w:rsidRPr="00942D38">
        <w:rPr>
          <w:rFonts w:ascii="Segoe UI" w:eastAsia="MS Mincho" w:hAnsi="Segoe UI" w:cs="Segoe UI"/>
          <w:sz w:val="18"/>
          <w:szCs w:val="18"/>
          <w:lang w:val="en-US"/>
        </w:rPr>
        <w:t>. (Accessed: 4 November 2018).</w:t>
      </w:r>
    </w:p>
    <w:p w14:paraId="544A3632"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E0E0537" w14:textId="3C80FDC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eastAsia="MS Mincho" w:hAnsi="Segoe UI" w:cs="Segoe UI"/>
          <w:sz w:val="18"/>
          <w:szCs w:val="18"/>
          <w:lang w:val="en-US"/>
        </w:rPr>
        <w:t xml:space="preserve">Global Commons Institute (2018). </w:t>
      </w:r>
      <w:r w:rsidRPr="00942D38">
        <w:rPr>
          <w:rFonts w:ascii="Segoe UI" w:eastAsia="MS Mincho" w:hAnsi="Segoe UI" w:cs="Segoe UI"/>
          <w:i/>
          <w:iCs/>
          <w:sz w:val="18"/>
          <w:szCs w:val="18"/>
          <w:lang w:val="en-US"/>
        </w:rPr>
        <w:t>Contraction and convergence: Climate truth and reconciliation</w:t>
      </w:r>
      <w:r w:rsidRPr="00942D38">
        <w:rPr>
          <w:rFonts w:ascii="Segoe UI" w:eastAsia="MS Mincho" w:hAnsi="Segoe UI" w:cs="Segoe UI"/>
          <w:sz w:val="18"/>
          <w:szCs w:val="18"/>
          <w:lang w:val="en-US"/>
        </w:rPr>
        <w:t xml:space="preserve">. </w:t>
      </w:r>
      <w:hyperlink r:id="rId42" w:history="1">
        <w:r w:rsidRPr="00942D38">
          <w:rPr>
            <w:rFonts w:ascii="Segoe UI" w:eastAsia="MS Mincho" w:hAnsi="Segoe UI" w:cs="Segoe UI"/>
            <w:sz w:val="18"/>
            <w:szCs w:val="18"/>
            <w:lang w:val="en-US"/>
          </w:rPr>
          <w:t>http://www.gci.org.uk/endorsements_UK_Climate_Act.html</w:t>
        </w:r>
      </w:hyperlink>
      <w:r w:rsidRPr="00942D38">
        <w:rPr>
          <w:rFonts w:ascii="Segoe UI" w:eastAsia="MS Mincho" w:hAnsi="Segoe UI" w:cs="Segoe UI"/>
          <w:sz w:val="18"/>
          <w:szCs w:val="18"/>
          <w:lang w:val="en-US"/>
        </w:rPr>
        <w:t xml:space="preserve"> (Accessed: 10 October 2018).</w:t>
      </w:r>
    </w:p>
    <w:p w14:paraId="3AEADBC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EFE6876" w14:textId="18C0F7A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Gordon, B.A., Mackay, R. and </w:t>
      </w:r>
      <w:proofErr w:type="spellStart"/>
      <w:r w:rsidRPr="00942D38">
        <w:rPr>
          <w:rFonts w:ascii="Segoe UI" w:hAnsi="Segoe UI" w:cs="Segoe UI"/>
          <w:sz w:val="18"/>
          <w:szCs w:val="18"/>
        </w:rPr>
        <w:t>Rehfuess</w:t>
      </w:r>
      <w:proofErr w:type="spellEnd"/>
      <w:r w:rsidRPr="00942D38">
        <w:rPr>
          <w:rFonts w:ascii="Segoe UI" w:hAnsi="Segoe UI" w:cs="Segoe UI"/>
          <w:sz w:val="18"/>
          <w:szCs w:val="18"/>
        </w:rPr>
        <w:t xml:space="preserve">, E. (2004). </w:t>
      </w:r>
      <w:r w:rsidRPr="00942D38">
        <w:rPr>
          <w:rFonts w:ascii="Segoe UI" w:hAnsi="Segoe UI" w:cs="Segoe UI"/>
          <w:i/>
          <w:iCs/>
          <w:sz w:val="18"/>
          <w:szCs w:val="18"/>
        </w:rPr>
        <w:t>Inheriting the World: The Atlas of Children's Health and the Environment.</w:t>
      </w:r>
      <w:r w:rsidRPr="00942D38">
        <w:rPr>
          <w:rFonts w:ascii="Segoe UI" w:hAnsi="Segoe UI" w:cs="Segoe UI"/>
          <w:sz w:val="18"/>
          <w:szCs w:val="18"/>
        </w:rPr>
        <w:t xml:space="preserve"> Geneva: World Health Organization. </w:t>
      </w:r>
      <w:hyperlink r:id="rId43" w:history="1">
        <w:r w:rsidRPr="007317E4">
          <w:rPr>
            <w:rStyle w:val="Hyperlink"/>
            <w:rFonts w:ascii="Segoe UI" w:hAnsi="Segoe UI" w:cs="Segoe UI"/>
            <w:sz w:val="18"/>
            <w:szCs w:val="18"/>
          </w:rPr>
          <w:t>http://www.who.int/ceh/publications/en/atlas.pdf?ua=1</w:t>
        </w:r>
      </w:hyperlink>
      <w:r w:rsidRPr="00942D38">
        <w:rPr>
          <w:rFonts w:ascii="Segoe UI" w:hAnsi="Segoe UI" w:cs="Segoe UI"/>
          <w:sz w:val="18"/>
          <w:szCs w:val="18"/>
        </w:rPr>
        <w:t>.</w:t>
      </w:r>
      <w:r>
        <w:rPr>
          <w:rFonts w:ascii="Segoe UI" w:hAnsi="Segoe UI" w:cs="Segoe UI"/>
          <w:sz w:val="18"/>
          <w:szCs w:val="18"/>
        </w:rPr>
        <w:t xml:space="preserve"> </w:t>
      </w:r>
    </w:p>
    <w:p w14:paraId="60FA6AC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1DF546D" w14:textId="03A316F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Green Climate Fund (2018). </w:t>
      </w:r>
      <w:r w:rsidRPr="00942D38">
        <w:rPr>
          <w:rFonts w:ascii="Segoe UI" w:hAnsi="Segoe UI" w:cs="Segoe UI"/>
          <w:i/>
          <w:iCs/>
          <w:sz w:val="18"/>
          <w:szCs w:val="18"/>
        </w:rPr>
        <w:t>Concept Note: Promotion of Climate-Friendly Cooking: Bangladesh, Kenya and Senegal.</w:t>
      </w:r>
      <w:r w:rsidRPr="00942D38">
        <w:rPr>
          <w:rFonts w:ascii="Segoe UI" w:hAnsi="Segoe UI" w:cs="Segoe UI"/>
          <w:sz w:val="18"/>
          <w:szCs w:val="18"/>
        </w:rPr>
        <w:t xml:space="preserve"> </w:t>
      </w:r>
      <w:hyperlink r:id="rId44" w:history="1">
        <w:r w:rsidRPr="007317E4">
          <w:rPr>
            <w:rStyle w:val="Hyperlink"/>
            <w:rFonts w:ascii="Segoe UI" w:hAnsi="Segoe UI" w:cs="Segoe UI"/>
            <w:sz w:val="18"/>
            <w:szCs w:val="18"/>
          </w:rPr>
          <w:t>https://www.greenclimate.fund/documents/20182/893456/19770_-_Promotion_of_Climate-Friendly_Cooking_Bangladesh__Kenya_and_Senegal.pdf</w:t>
        </w:r>
      </w:hyperlink>
      <w:r w:rsidRPr="00942D38">
        <w:rPr>
          <w:rFonts w:ascii="Segoe UI" w:hAnsi="Segoe UI" w:cs="Segoe UI"/>
          <w:sz w:val="18"/>
          <w:szCs w:val="18"/>
        </w:rPr>
        <w:t>.</w:t>
      </w:r>
      <w:r>
        <w:rPr>
          <w:rFonts w:ascii="Segoe UI" w:hAnsi="Segoe UI" w:cs="Segoe UI"/>
          <w:sz w:val="18"/>
          <w:szCs w:val="18"/>
        </w:rPr>
        <w:t xml:space="preserve"> </w:t>
      </w:r>
    </w:p>
    <w:p w14:paraId="6FB67DEF"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70A3DB3" w14:textId="25471E1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Grice, S., Stedman, J., Kent, A., Hobson, M., Norris, J., Abbott, J.</w:t>
      </w:r>
      <w:r w:rsidRPr="00942D38">
        <w:rPr>
          <w:rFonts w:ascii="Segoe UI" w:hAnsi="Segoe UI" w:cs="Segoe UI"/>
          <w:i/>
          <w:iCs/>
          <w:sz w:val="18"/>
          <w:szCs w:val="18"/>
        </w:rPr>
        <w:t xml:space="preserve"> et al.</w:t>
      </w:r>
      <w:r w:rsidRPr="00942D38">
        <w:rPr>
          <w:rFonts w:ascii="Segoe UI" w:hAnsi="Segoe UI" w:cs="Segoe UI"/>
          <w:sz w:val="18"/>
          <w:szCs w:val="18"/>
        </w:rPr>
        <w:t xml:space="preserve"> (2009). Recent trends and projections of primary NO</w:t>
      </w:r>
      <w:r w:rsidRPr="00942D38">
        <w:rPr>
          <w:rFonts w:ascii="Segoe UI" w:hAnsi="Segoe UI" w:cs="Segoe UI"/>
          <w:sz w:val="18"/>
          <w:szCs w:val="18"/>
          <w:vertAlign w:val="subscript"/>
        </w:rPr>
        <w:t>2</w:t>
      </w:r>
      <w:r w:rsidRPr="00942D38">
        <w:rPr>
          <w:rFonts w:ascii="Segoe UI" w:hAnsi="Segoe UI" w:cs="Segoe UI"/>
          <w:sz w:val="18"/>
          <w:szCs w:val="18"/>
        </w:rPr>
        <w:t xml:space="preserve"> emissions in Europe. </w:t>
      </w:r>
      <w:r w:rsidRPr="00942D38">
        <w:rPr>
          <w:rFonts w:ascii="Segoe UI" w:hAnsi="Segoe UI" w:cs="Segoe UI"/>
          <w:i/>
          <w:iCs/>
          <w:sz w:val="18"/>
          <w:szCs w:val="18"/>
        </w:rPr>
        <w:t>Atmospheric Environment</w:t>
      </w:r>
      <w:r w:rsidRPr="00942D38">
        <w:rPr>
          <w:rFonts w:ascii="Segoe UI" w:hAnsi="Segoe UI" w:cs="Segoe UI"/>
          <w:sz w:val="18"/>
          <w:szCs w:val="18"/>
        </w:rPr>
        <w:t xml:space="preserve"> 43(13), 2154-2167. </w:t>
      </w:r>
      <w:hyperlink r:id="rId45" w:history="1">
        <w:r w:rsidRPr="007317E4">
          <w:rPr>
            <w:rStyle w:val="Hyperlink"/>
            <w:rFonts w:ascii="Segoe UI" w:hAnsi="Segoe UI" w:cs="Segoe UI"/>
            <w:sz w:val="18"/>
            <w:szCs w:val="18"/>
          </w:rPr>
          <w:t>https://doi.org/10.1016/j.atmosenv.2009.01.019</w:t>
        </w:r>
      </w:hyperlink>
      <w:r w:rsidRPr="00942D38">
        <w:rPr>
          <w:rFonts w:ascii="Segoe UI" w:hAnsi="Segoe UI" w:cs="Segoe UI"/>
          <w:sz w:val="18"/>
          <w:szCs w:val="18"/>
        </w:rPr>
        <w:t>.</w:t>
      </w:r>
      <w:r>
        <w:rPr>
          <w:rFonts w:ascii="Segoe UI" w:hAnsi="Segoe UI" w:cs="Segoe UI"/>
          <w:sz w:val="18"/>
          <w:szCs w:val="18"/>
        </w:rPr>
        <w:t xml:space="preserve"> </w:t>
      </w:r>
    </w:p>
    <w:p w14:paraId="6EEDE0F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6DBE42E" w14:textId="2C7F5EC3"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Guerreiro</w:t>
      </w:r>
      <w:proofErr w:type="spellEnd"/>
      <w:r w:rsidRPr="00942D38">
        <w:rPr>
          <w:rFonts w:ascii="Segoe UI" w:hAnsi="Segoe UI" w:cs="Segoe UI"/>
          <w:sz w:val="18"/>
          <w:szCs w:val="18"/>
        </w:rPr>
        <w:t xml:space="preserve">, C., </w:t>
      </w:r>
      <w:proofErr w:type="spellStart"/>
      <w:r w:rsidRPr="00942D38">
        <w:rPr>
          <w:rFonts w:ascii="Segoe UI" w:hAnsi="Segoe UI" w:cs="Segoe UI"/>
          <w:sz w:val="18"/>
          <w:szCs w:val="18"/>
        </w:rPr>
        <w:t>Horálek</w:t>
      </w:r>
      <w:proofErr w:type="spellEnd"/>
      <w:r w:rsidRPr="00942D38">
        <w:rPr>
          <w:rFonts w:ascii="Segoe UI" w:hAnsi="Segoe UI" w:cs="Segoe UI"/>
          <w:sz w:val="18"/>
          <w:szCs w:val="18"/>
        </w:rPr>
        <w:t xml:space="preserve">, J., de Leeuw, F., </w:t>
      </w:r>
      <w:proofErr w:type="spellStart"/>
      <w:r w:rsidRPr="00942D38">
        <w:rPr>
          <w:rFonts w:ascii="Segoe UI" w:hAnsi="Segoe UI" w:cs="Segoe UI"/>
          <w:sz w:val="18"/>
          <w:szCs w:val="18"/>
        </w:rPr>
        <w:t>Hak</w:t>
      </w:r>
      <w:proofErr w:type="spellEnd"/>
      <w:r w:rsidRPr="00942D38">
        <w:rPr>
          <w:rFonts w:ascii="Segoe UI" w:hAnsi="Segoe UI" w:cs="Segoe UI"/>
          <w:sz w:val="18"/>
          <w:szCs w:val="18"/>
        </w:rPr>
        <w:t xml:space="preserve">, C., </w:t>
      </w:r>
      <w:proofErr w:type="spellStart"/>
      <w:r w:rsidRPr="00942D38">
        <w:rPr>
          <w:rFonts w:ascii="Segoe UI" w:hAnsi="Segoe UI" w:cs="Segoe UI"/>
          <w:sz w:val="18"/>
          <w:szCs w:val="18"/>
        </w:rPr>
        <w:t>Nagl</w:t>
      </w:r>
      <w:proofErr w:type="spellEnd"/>
      <w:r w:rsidRPr="00942D38">
        <w:rPr>
          <w:rFonts w:ascii="Segoe UI" w:hAnsi="Segoe UI" w:cs="Segoe UI"/>
          <w:sz w:val="18"/>
          <w:szCs w:val="18"/>
        </w:rPr>
        <w:t xml:space="preserve">, C., </w:t>
      </w:r>
      <w:proofErr w:type="spellStart"/>
      <w:r w:rsidRPr="00942D38">
        <w:rPr>
          <w:rFonts w:ascii="Segoe UI" w:hAnsi="Segoe UI" w:cs="Segoe UI"/>
          <w:sz w:val="18"/>
          <w:szCs w:val="18"/>
        </w:rPr>
        <w:t>Kurfürst</w:t>
      </w:r>
      <w:proofErr w:type="spellEnd"/>
      <w:r w:rsidRPr="00942D38">
        <w:rPr>
          <w:rFonts w:ascii="Segoe UI" w:hAnsi="Segoe UI" w:cs="Segoe UI"/>
          <w:sz w:val="18"/>
          <w:szCs w:val="18"/>
        </w:rPr>
        <w:t>, P.</w:t>
      </w:r>
      <w:r w:rsidRPr="00942D38">
        <w:rPr>
          <w:rFonts w:ascii="Segoe UI" w:hAnsi="Segoe UI" w:cs="Segoe UI"/>
          <w:i/>
          <w:iCs/>
          <w:sz w:val="18"/>
          <w:szCs w:val="18"/>
        </w:rPr>
        <w:t xml:space="preserve"> et al.</w:t>
      </w:r>
      <w:r w:rsidRPr="00942D38">
        <w:rPr>
          <w:rFonts w:ascii="Segoe UI" w:hAnsi="Segoe UI" w:cs="Segoe UI"/>
          <w:sz w:val="18"/>
          <w:szCs w:val="18"/>
        </w:rPr>
        <w:t xml:space="preserve"> (2010). </w:t>
      </w:r>
      <w:r w:rsidRPr="00942D38">
        <w:rPr>
          <w:rFonts w:ascii="Segoe UI" w:hAnsi="Segoe UI" w:cs="Segoe UI"/>
          <w:i/>
          <w:iCs/>
          <w:sz w:val="18"/>
          <w:szCs w:val="18"/>
        </w:rPr>
        <w:t>Status and Trends of NO</w:t>
      </w:r>
      <w:r w:rsidRPr="00942D38">
        <w:rPr>
          <w:rFonts w:ascii="Segoe UI" w:hAnsi="Segoe UI" w:cs="Segoe UI"/>
          <w:i/>
          <w:iCs/>
          <w:sz w:val="18"/>
          <w:szCs w:val="18"/>
          <w:vertAlign w:val="subscript"/>
        </w:rPr>
        <w:t>2</w:t>
      </w:r>
      <w:r w:rsidRPr="00942D38">
        <w:rPr>
          <w:rFonts w:ascii="Segoe UI" w:hAnsi="Segoe UI" w:cs="Segoe UI"/>
          <w:i/>
          <w:iCs/>
          <w:sz w:val="18"/>
          <w:szCs w:val="18"/>
        </w:rPr>
        <w:t xml:space="preserve"> Ambient Concentrations in Europe.</w:t>
      </w:r>
      <w:r w:rsidRPr="00942D38">
        <w:rPr>
          <w:rFonts w:ascii="Segoe UI" w:hAnsi="Segoe UI" w:cs="Segoe UI"/>
          <w:sz w:val="18"/>
          <w:szCs w:val="18"/>
        </w:rPr>
        <w:t xml:space="preserve"> ETC/ACC Technical Paper. </w:t>
      </w:r>
      <w:proofErr w:type="spellStart"/>
      <w:r w:rsidRPr="00942D38">
        <w:rPr>
          <w:rFonts w:ascii="Segoe UI" w:hAnsi="Segoe UI" w:cs="Segoe UI"/>
          <w:sz w:val="18"/>
          <w:szCs w:val="18"/>
        </w:rPr>
        <w:t>Bilthoven</w:t>
      </w:r>
      <w:proofErr w:type="spellEnd"/>
      <w:r w:rsidRPr="00942D38">
        <w:rPr>
          <w:rFonts w:ascii="Segoe UI" w:hAnsi="Segoe UI" w:cs="Segoe UI"/>
          <w:sz w:val="18"/>
          <w:szCs w:val="18"/>
        </w:rPr>
        <w:t xml:space="preserve">: European Topic Centre on Air and Climate Change. </w:t>
      </w:r>
      <w:hyperlink r:id="rId46" w:history="1">
        <w:r w:rsidRPr="007317E4">
          <w:rPr>
            <w:rStyle w:val="Hyperlink"/>
            <w:rFonts w:ascii="Segoe UI" w:hAnsi="Segoe UI" w:cs="Segoe UI"/>
            <w:sz w:val="18"/>
            <w:szCs w:val="18"/>
          </w:rPr>
          <w:t>https://www.researchgate.net/profile/Cristina_Guerreiro/publication/260600537_Status_and_trends_of_NO2_ambient_concentrations_in_Europe/links/5433a1070cf22395f29e1e57/Status-and-trends-of-NO2-ambient-concentrations-in-Europe.pdf</w:t>
        </w:r>
      </w:hyperlink>
      <w:r w:rsidRPr="00942D38">
        <w:rPr>
          <w:rFonts w:ascii="Segoe UI" w:hAnsi="Segoe UI" w:cs="Segoe UI"/>
          <w:sz w:val="18"/>
          <w:szCs w:val="18"/>
        </w:rPr>
        <w:t>.</w:t>
      </w:r>
      <w:r>
        <w:rPr>
          <w:rFonts w:ascii="Segoe UI" w:hAnsi="Segoe UI" w:cs="Segoe UI"/>
          <w:sz w:val="18"/>
          <w:szCs w:val="18"/>
        </w:rPr>
        <w:t xml:space="preserve"> </w:t>
      </w:r>
    </w:p>
    <w:p w14:paraId="2CCD962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605F6AF" w14:textId="3B939D9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eastAsia="MS Mincho" w:hAnsi="Segoe UI" w:cs="Segoe UI"/>
          <w:sz w:val="18"/>
          <w:szCs w:val="18"/>
          <w:lang w:val="en-US"/>
        </w:rPr>
        <w:t xml:space="preserve">Hans, N.J. (2018). </w:t>
      </w:r>
      <w:r w:rsidRPr="00942D38">
        <w:rPr>
          <w:rFonts w:ascii="Segoe UI" w:eastAsia="MS Mincho" w:hAnsi="Segoe UI" w:cs="Segoe UI"/>
          <w:i/>
          <w:iCs/>
          <w:sz w:val="18"/>
          <w:szCs w:val="18"/>
          <w:lang w:val="en-US"/>
        </w:rPr>
        <w:t>Study on economic loss from Indonesia’s peat policies criticized</w:t>
      </w:r>
      <w:r w:rsidRPr="00942D38">
        <w:rPr>
          <w:rFonts w:ascii="Segoe UI" w:eastAsia="MS Mincho" w:hAnsi="Segoe UI" w:cs="Segoe UI"/>
          <w:sz w:val="18"/>
          <w:szCs w:val="18"/>
          <w:lang w:val="en-US"/>
        </w:rPr>
        <w:t xml:space="preserve">. </w:t>
      </w:r>
      <w:proofErr w:type="spellStart"/>
      <w:r w:rsidRPr="00942D38">
        <w:rPr>
          <w:rFonts w:ascii="Segoe UI" w:eastAsia="MS Mincho" w:hAnsi="Segoe UI" w:cs="Segoe UI"/>
          <w:sz w:val="18"/>
          <w:szCs w:val="18"/>
          <w:lang w:val="en-US"/>
        </w:rPr>
        <w:t>Mongabay</w:t>
      </w:r>
      <w:proofErr w:type="spellEnd"/>
      <w:r w:rsidRPr="00942D38">
        <w:rPr>
          <w:rFonts w:ascii="Segoe UI" w:eastAsia="MS Mincho" w:hAnsi="Segoe UI" w:cs="Segoe UI"/>
          <w:sz w:val="18"/>
          <w:szCs w:val="18"/>
          <w:lang w:val="en-US"/>
        </w:rPr>
        <w:t xml:space="preserve"> </w:t>
      </w:r>
      <w:hyperlink r:id="rId47" w:history="1">
        <w:r w:rsidRPr="00942D38">
          <w:rPr>
            <w:rFonts w:ascii="Segoe UI" w:eastAsia="MS Mincho" w:hAnsi="Segoe UI" w:cs="Segoe UI"/>
            <w:sz w:val="18"/>
            <w:szCs w:val="18"/>
            <w:lang w:val="en-US"/>
          </w:rPr>
          <w:t>https://news.mongabay.com/2018/01/study-on-economic-loss-from-indonesias-peat-policies-criticized/</w:t>
        </w:r>
      </w:hyperlink>
      <w:r w:rsidRPr="00942D38">
        <w:rPr>
          <w:rFonts w:ascii="Segoe UI" w:eastAsia="MS Mincho" w:hAnsi="Segoe UI" w:cs="Segoe UI"/>
          <w:sz w:val="18"/>
          <w:szCs w:val="18"/>
          <w:lang w:val="en-US"/>
        </w:rPr>
        <w:t xml:space="preserve"> (Accessed: 4 November 2018).</w:t>
      </w:r>
    </w:p>
    <w:p w14:paraId="0DD5915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5354A16" w14:textId="2910B65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eastAsia="MS Mincho" w:hAnsi="Segoe UI" w:cs="Segoe UI"/>
          <w:sz w:val="18"/>
          <w:szCs w:val="18"/>
          <w:lang w:val="en-US"/>
        </w:rPr>
        <w:lastRenderedPageBreak/>
        <w:t xml:space="preserve">Haze Action Online (2017). </w:t>
      </w:r>
      <w:r w:rsidRPr="00942D38">
        <w:rPr>
          <w:rFonts w:ascii="Segoe UI" w:eastAsia="MS Mincho" w:hAnsi="Segoe UI" w:cs="Segoe UI"/>
          <w:i/>
          <w:iCs/>
          <w:sz w:val="18"/>
          <w:szCs w:val="18"/>
          <w:lang w:val="en-US"/>
        </w:rPr>
        <w:t>Information on fire and haze</w:t>
      </w:r>
      <w:r w:rsidRPr="00942D38">
        <w:rPr>
          <w:rFonts w:ascii="Segoe UI" w:eastAsia="MS Mincho" w:hAnsi="Segoe UI" w:cs="Segoe UI"/>
          <w:sz w:val="18"/>
          <w:szCs w:val="18"/>
          <w:lang w:val="en-US"/>
        </w:rPr>
        <w:t xml:space="preserve">. Association of South East Asian Nations </w:t>
      </w:r>
      <w:hyperlink r:id="rId48" w:history="1">
        <w:r w:rsidRPr="00942D38">
          <w:rPr>
            <w:rFonts w:ascii="Segoe UI" w:eastAsia="MS Mincho" w:hAnsi="Segoe UI" w:cs="Segoe UI"/>
            <w:sz w:val="18"/>
            <w:szCs w:val="18"/>
            <w:lang w:val="en-US"/>
          </w:rPr>
          <w:t>http://haze.asean.org/%20about-us/information-on-fire-and-haze/</w:t>
        </w:r>
      </w:hyperlink>
      <w:r w:rsidRPr="00942D38">
        <w:rPr>
          <w:rFonts w:ascii="Segoe UI" w:eastAsia="MS Mincho" w:hAnsi="Segoe UI" w:cs="Segoe UI"/>
          <w:sz w:val="18"/>
          <w:szCs w:val="18"/>
          <w:lang w:val="en-US"/>
        </w:rPr>
        <w:t xml:space="preserve"> (Accessed: 4 November 2018).</w:t>
      </w:r>
    </w:p>
    <w:p w14:paraId="7868108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B4EB90C" w14:textId="012F17D2" w:rsidR="00942D38" w:rsidRPr="00942D38" w:rsidRDefault="00942D38" w:rsidP="00942D38">
      <w:pPr>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Haze Action Online (2018). </w:t>
      </w:r>
      <w:r w:rsidRPr="00942D38">
        <w:rPr>
          <w:rFonts w:ascii="Segoe UI" w:eastAsia="MS Mincho" w:hAnsi="Segoe UI" w:cs="Segoe UI"/>
          <w:i/>
          <w:iCs/>
          <w:sz w:val="18"/>
          <w:szCs w:val="18"/>
          <w:lang w:val="en-US"/>
        </w:rPr>
        <w:t>Haze hotspot map today</w:t>
      </w:r>
      <w:r w:rsidRPr="00942D38">
        <w:rPr>
          <w:rFonts w:ascii="Segoe UI" w:eastAsia="MS Mincho" w:hAnsi="Segoe UI" w:cs="Segoe UI"/>
          <w:sz w:val="18"/>
          <w:szCs w:val="18"/>
          <w:lang w:val="en-US"/>
        </w:rPr>
        <w:t xml:space="preserve">. Association of South East Asian Nations </w:t>
      </w:r>
      <w:hyperlink r:id="rId49" w:history="1">
        <w:r w:rsidRPr="00942D38">
          <w:rPr>
            <w:rFonts w:ascii="Segoe UI" w:eastAsia="MS Mincho" w:hAnsi="Segoe UI" w:cs="Segoe UI"/>
            <w:sz w:val="18"/>
            <w:szCs w:val="18"/>
            <w:lang w:val="en-US"/>
          </w:rPr>
          <w:t>https://haze.asean.org/</w:t>
        </w:r>
      </w:hyperlink>
      <w:r w:rsidRPr="00942D38">
        <w:rPr>
          <w:rFonts w:ascii="Segoe UI" w:eastAsia="MS Mincho" w:hAnsi="Segoe UI" w:cs="Segoe UI"/>
          <w:sz w:val="18"/>
          <w:szCs w:val="18"/>
          <w:lang w:val="en-US"/>
        </w:rPr>
        <w:t xml:space="preserve"> (Accessed: 4 November 2018).</w:t>
      </w:r>
    </w:p>
    <w:p w14:paraId="261DEF9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57CE205" w14:textId="4C712D3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Health Effects Institute (2017). </w:t>
      </w:r>
      <w:r w:rsidRPr="00942D38">
        <w:rPr>
          <w:rFonts w:ascii="Segoe UI" w:hAnsi="Segoe UI" w:cs="Segoe UI"/>
          <w:i/>
          <w:iCs/>
          <w:sz w:val="18"/>
          <w:szCs w:val="18"/>
        </w:rPr>
        <w:t>State of Global Air 2017: A Special Report on Global Exposure to Air Pollution and its Disease Burden.</w:t>
      </w:r>
      <w:r w:rsidRPr="00942D38">
        <w:rPr>
          <w:rFonts w:ascii="Segoe UI" w:hAnsi="Segoe UI" w:cs="Segoe UI"/>
          <w:sz w:val="18"/>
          <w:szCs w:val="18"/>
        </w:rPr>
        <w:t xml:space="preserve"> Boston, MA. </w:t>
      </w:r>
      <w:hyperlink r:id="rId50" w:history="1">
        <w:r w:rsidRPr="007317E4">
          <w:rPr>
            <w:rStyle w:val="Hyperlink"/>
            <w:rFonts w:ascii="Segoe UI" w:hAnsi="Segoe UI" w:cs="Segoe UI"/>
            <w:sz w:val="18"/>
            <w:szCs w:val="18"/>
          </w:rPr>
          <w:t>https://www.stateofglobalair.org/sites/default/files/SoGA2017_report.pdf</w:t>
        </w:r>
      </w:hyperlink>
      <w:r w:rsidRPr="00942D38">
        <w:rPr>
          <w:rFonts w:ascii="Segoe UI" w:hAnsi="Segoe UI" w:cs="Segoe UI"/>
          <w:sz w:val="18"/>
          <w:szCs w:val="18"/>
        </w:rPr>
        <w:t>.</w:t>
      </w:r>
      <w:r>
        <w:rPr>
          <w:rFonts w:ascii="Segoe UI" w:hAnsi="Segoe UI" w:cs="Segoe UI"/>
          <w:sz w:val="18"/>
          <w:szCs w:val="18"/>
        </w:rPr>
        <w:t xml:space="preserve"> </w:t>
      </w:r>
    </w:p>
    <w:p w14:paraId="02F7D12E"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82092BF" w14:textId="6D8A43E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Henry, G.T. and Gordon, C.S. (2003). Driving less for better air: Impacts of a public information campaign. </w:t>
      </w:r>
      <w:r w:rsidRPr="00942D38">
        <w:rPr>
          <w:rFonts w:ascii="Segoe UI" w:hAnsi="Segoe UI" w:cs="Segoe UI"/>
          <w:i/>
          <w:iCs/>
          <w:sz w:val="18"/>
          <w:szCs w:val="18"/>
        </w:rPr>
        <w:t>Journal of Policy Analysis and Management</w:t>
      </w:r>
      <w:r w:rsidRPr="00942D38">
        <w:rPr>
          <w:rFonts w:ascii="Segoe UI" w:hAnsi="Segoe UI" w:cs="Segoe UI"/>
          <w:sz w:val="18"/>
          <w:szCs w:val="18"/>
        </w:rPr>
        <w:t xml:space="preserve"> 22(1), 45-63. </w:t>
      </w:r>
      <w:hyperlink r:id="rId51" w:history="1">
        <w:r w:rsidRPr="007317E4">
          <w:rPr>
            <w:rStyle w:val="Hyperlink"/>
            <w:rFonts w:ascii="Segoe UI" w:hAnsi="Segoe UI" w:cs="Segoe UI"/>
            <w:sz w:val="18"/>
            <w:szCs w:val="18"/>
          </w:rPr>
          <w:t>https://doi.org/10.1002/pam.10095</w:t>
        </w:r>
      </w:hyperlink>
      <w:r>
        <w:rPr>
          <w:rFonts w:ascii="Segoe UI" w:hAnsi="Segoe UI" w:cs="Segoe UI"/>
          <w:sz w:val="18"/>
          <w:szCs w:val="18"/>
        </w:rPr>
        <w:t xml:space="preserve"> </w:t>
      </w:r>
      <w:r w:rsidRPr="00942D38">
        <w:rPr>
          <w:rFonts w:ascii="Segoe UI" w:hAnsi="Segoe UI" w:cs="Segoe UI"/>
          <w:sz w:val="18"/>
          <w:szCs w:val="18"/>
        </w:rPr>
        <w:t xml:space="preserve"> </w:t>
      </w:r>
    </w:p>
    <w:p w14:paraId="14AA9CB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04A84C6" w14:textId="453651E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Hotten</w:t>
      </w:r>
      <w:proofErr w:type="spellEnd"/>
      <w:r w:rsidRPr="00942D38">
        <w:rPr>
          <w:rFonts w:ascii="Segoe UI" w:hAnsi="Segoe UI" w:cs="Segoe UI"/>
          <w:sz w:val="18"/>
          <w:szCs w:val="18"/>
        </w:rPr>
        <w:t xml:space="preserve">, R. (2015). Volkswagen: The scandal explained. British Broadcasting Corporation </w:t>
      </w:r>
      <w:hyperlink r:id="rId52" w:history="1">
        <w:r w:rsidRPr="007317E4">
          <w:rPr>
            <w:rStyle w:val="Hyperlink"/>
            <w:rFonts w:ascii="Segoe UI" w:hAnsi="Segoe UI" w:cs="Segoe UI"/>
            <w:sz w:val="18"/>
            <w:szCs w:val="18"/>
          </w:rPr>
          <w:t>https://www.bbc.com/news/business-34324772</w:t>
        </w:r>
      </w:hyperlink>
      <w:r w:rsidRPr="00942D38">
        <w:rPr>
          <w:rFonts w:ascii="Segoe UI" w:hAnsi="Segoe UI" w:cs="Segoe UI"/>
          <w:sz w:val="18"/>
          <w:szCs w:val="18"/>
        </w:rPr>
        <w:t>.</w:t>
      </w:r>
      <w:r>
        <w:rPr>
          <w:rFonts w:ascii="Segoe UI" w:hAnsi="Segoe UI" w:cs="Segoe UI"/>
          <w:sz w:val="18"/>
          <w:szCs w:val="18"/>
        </w:rPr>
        <w:t xml:space="preserve"> </w:t>
      </w:r>
    </w:p>
    <w:p w14:paraId="75D4828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0B7FED5" w14:textId="3F8DFF4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Intergovernmental Panel on Climate Change (2014). </w:t>
      </w:r>
      <w:r w:rsidRPr="00942D38">
        <w:rPr>
          <w:rFonts w:ascii="Segoe UI" w:hAnsi="Segoe UI" w:cs="Segoe UI"/>
          <w:i/>
          <w:iCs/>
          <w:sz w:val="18"/>
          <w:szCs w:val="18"/>
        </w:rPr>
        <w:t>Climate Change 2014: Synthesis Report. Contribution of Working Groups I, II and III to the Fifth Assessment Report of the Intergovernmental Panel on Climate Change.</w:t>
      </w:r>
      <w:r w:rsidRPr="00942D38">
        <w:rPr>
          <w:rFonts w:ascii="Segoe UI" w:hAnsi="Segoe UI" w:cs="Segoe UI"/>
          <w:sz w:val="18"/>
          <w:szCs w:val="18"/>
        </w:rPr>
        <w:t xml:space="preserve"> Pachauri, R.K.,</w:t>
      </w:r>
      <w:r>
        <w:rPr>
          <w:rFonts w:ascii="Segoe UI" w:hAnsi="Segoe UI" w:cs="Segoe UI"/>
          <w:sz w:val="18"/>
          <w:szCs w:val="18"/>
        </w:rPr>
        <w:t xml:space="preserve"> </w:t>
      </w:r>
      <w:r w:rsidRPr="00942D38">
        <w:rPr>
          <w:rFonts w:ascii="Segoe UI" w:hAnsi="Segoe UI" w:cs="Segoe UI"/>
          <w:sz w:val="18"/>
          <w:szCs w:val="18"/>
        </w:rPr>
        <w:t xml:space="preserve">Meyer, L.A. Geneva. </w:t>
      </w:r>
      <w:hyperlink r:id="rId53" w:history="1">
        <w:r w:rsidRPr="007317E4">
          <w:rPr>
            <w:rStyle w:val="Hyperlink"/>
            <w:rFonts w:ascii="Segoe UI" w:hAnsi="Segoe UI" w:cs="Segoe UI"/>
            <w:sz w:val="18"/>
            <w:szCs w:val="18"/>
          </w:rPr>
          <w:t>https://www.ipcc.ch/pdf/assessment-report/ar5/syr/AR5_SYR_FINAL_All_Topics.pdf</w:t>
        </w:r>
      </w:hyperlink>
      <w:r w:rsidRPr="00942D38">
        <w:rPr>
          <w:rFonts w:ascii="Segoe UI" w:hAnsi="Segoe UI" w:cs="Segoe UI"/>
          <w:sz w:val="18"/>
          <w:szCs w:val="18"/>
        </w:rPr>
        <w:t>.</w:t>
      </w:r>
      <w:r>
        <w:rPr>
          <w:rFonts w:ascii="Segoe UI" w:hAnsi="Segoe UI" w:cs="Segoe UI"/>
          <w:sz w:val="18"/>
          <w:szCs w:val="18"/>
        </w:rPr>
        <w:t xml:space="preserve"> </w:t>
      </w:r>
    </w:p>
    <w:p w14:paraId="3DB80C1E"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8B5B376" w14:textId="3E73B20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International Energy Agency (2016). </w:t>
      </w:r>
      <w:r w:rsidRPr="00942D38">
        <w:rPr>
          <w:rFonts w:ascii="Segoe UI" w:hAnsi="Segoe UI" w:cs="Segoe UI"/>
          <w:i/>
          <w:iCs/>
          <w:sz w:val="18"/>
          <w:szCs w:val="18"/>
        </w:rPr>
        <w:t>CO₂ Emissions from Fuel Combustion 2016.</w:t>
      </w:r>
      <w:r w:rsidRPr="00942D38">
        <w:rPr>
          <w:rFonts w:ascii="Segoe UI" w:hAnsi="Segoe UI" w:cs="Segoe UI"/>
          <w:sz w:val="18"/>
          <w:szCs w:val="18"/>
        </w:rPr>
        <w:t xml:space="preserve"> Paris. </w:t>
      </w:r>
      <w:hyperlink r:id="rId54" w:history="1">
        <w:r w:rsidRPr="007317E4">
          <w:rPr>
            <w:rStyle w:val="Hyperlink"/>
            <w:rFonts w:ascii="Segoe UI" w:hAnsi="Segoe UI" w:cs="Segoe UI"/>
            <w:sz w:val="18"/>
            <w:szCs w:val="18"/>
          </w:rPr>
          <w:t>https://www.oecd-ilibrary.org/docserver/co2_fuel-2016-en.pdf?expires=1541330155&amp;id=id&amp;accname=ocid195767&amp;checksum=B4C10B7629C3B96202B183CE7A93E533</w:t>
        </w:r>
      </w:hyperlink>
      <w:r w:rsidRPr="00942D38">
        <w:rPr>
          <w:rFonts w:ascii="Segoe UI" w:hAnsi="Segoe UI" w:cs="Segoe UI"/>
          <w:sz w:val="18"/>
          <w:szCs w:val="18"/>
        </w:rPr>
        <w:t>.</w:t>
      </w:r>
      <w:r>
        <w:rPr>
          <w:rFonts w:ascii="Segoe UI" w:hAnsi="Segoe UI" w:cs="Segoe UI"/>
          <w:sz w:val="18"/>
          <w:szCs w:val="18"/>
        </w:rPr>
        <w:t xml:space="preserve"> </w:t>
      </w:r>
    </w:p>
    <w:p w14:paraId="4DB2AA8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A44F620" w14:textId="18CA415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International Energy Agency (2017). </w:t>
      </w:r>
      <w:r w:rsidRPr="00942D38">
        <w:rPr>
          <w:rFonts w:ascii="Segoe UI" w:hAnsi="Segoe UI" w:cs="Segoe UI"/>
          <w:i/>
          <w:iCs/>
          <w:sz w:val="18"/>
          <w:szCs w:val="18"/>
        </w:rPr>
        <w:t>Energy Balances of OECD Countries.</w:t>
      </w:r>
      <w:r w:rsidRPr="00942D38">
        <w:rPr>
          <w:rFonts w:ascii="Segoe UI" w:hAnsi="Segoe UI" w:cs="Segoe UI"/>
          <w:sz w:val="18"/>
          <w:szCs w:val="18"/>
        </w:rPr>
        <w:t xml:space="preserve"> </w:t>
      </w:r>
      <w:hyperlink r:id="rId55" w:history="1">
        <w:r w:rsidRPr="007317E4">
          <w:rPr>
            <w:rStyle w:val="Hyperlink"/>
            <w:rFonts w:ascii="Segoe UI" w:hAnsi="Segoe UI" w:cs="Segoe UI"/>
            <w:sz w:val="18"/>
            <w:szCs w:val="18"/>
          </w:rPr>
          <w:t>https://www.iea.org/statistics/relateddatabases/energybalancesofoecdcountries/</w:t>
        </w:r>
      </w:hyperlink>
      <w:r w:rsidRPr="00942D38">
        <w:rPr>
          <w:rFonts w:ascii="Segoe UI" w:hAnsi="Segoe UI" w:cs="Segoe UI"/>
          <w:sz w:val="18"/>
          <w:szCs w:val="18"/>
        </w:rPr>
        <w:t>.</w:t>
      </w:r>
      <w:r>
        <w:rPr>
          <w:rFonts w:ascii="Segoe UI" w:hAnsi="Segoe UI" w:cs="Segoe UI"/>
          <w:sz w:val="18"/>
          <w:szCs w:val="18"/>
        </w:rPr>
        <w:t xml:space="preserve"> </w:t>
      </w:r>
    </w:p>
    <w:p w14:paraId="22A317D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5D69AB9" w14:textId="06B19754"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eastAsia="MS Mincho" w:hAnsi="Segoe UI" w:cs="Segoe UI"/>
          <w:sz w:val="18"/>
          <w:szCs w:val="18"/>
          <w:lang w:val="en-US"/>
        </w:rPr>
        <w:t xml:space="preserve">International Maritime Organization (2018). </w:t>
      </w:r>
      <w:r w:rsidRPr="00942D38">
        <w:rPr>
          <w:rFonts w:ascii="Segoe UI" w:eastAsia="MS Mincho" w:hAnsi="Segoe UI" w:cs="Segoe UI"/>
          <w:i/>
          <w:iCs/>
          <w:sz w:val="18"/>
          <w:szCs w:val="18"/>
          <w:lang w:val="en-US"/>
        </w:rPr>
        <w:t>Prevention of air pollution from ships</w:t>
      </w:r>
      <w:r w:rsidRPr="00942D38">
        <w:rPr>
          <w:rFonts w:ascii="Segoe UI" w:eastAsia="MS Mincho" w:hAnsi="Segoe UI" w:cs="Segoe UI"/>
          <w:sz w:val="18"/>
          <w:szCs w:val="18"/>
          <w:lang w:val="en-US"/>
        </w:rPr>
        <w:t xml:space="preserve">. </w:t>
      </w:r>
      <w:hyperlink r:id="rId56" w:history="1">
        <w:r w:rsidRPr="00942D38">
          <w:rPr>
            <w:rFonts w:ascii="Segoe UI" w:eastAsia="MS Mincho" w:hAnsi="Segoe UI" w:cs="Segoe UI"/>
            <w:sz w:val="18"/>
            <w:szCs w:val="18"/>
            <w:lang w:val="en-US"/>
          </w:rPr>
          <w:t>http://www.imo.org/en/OurWork/Environment/PollutionPrevention/AirPollution/Pages/Air-Pollution.aspx</w:t>
        </w:r>
      </w:hyperlink>
      <w:r w:rsidRPr="00942D38">
        <w:rPr>
          <w:rFonts w:ascii="Segoe UI" w:eastAsia="MS Mincho" w:hAnsi="Segoe UI" w:cs="Segoe UI"/>
          <w:sz w:val="18"/>
          <w:szCs w:val="18"/>
          <w:lang w:val="en-US"/>
        </w:rPr>
        <w:t xml:space="preserve"> (Accessed: 4 November 2018).</w:t>
      </w:r>
    </w:p>
    <w:p w14:paraId="74FAA29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E3B7C1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Kansas Department of Health and Environment (2006). </w:t>
      </w:r>
      <w:r w:rsidRPr="00942D38">
        <w:rPr>
          <w:rFonts w:ascii="Segoe UI" w:hAnsi="Segoe UI" w:cs="Segoe UI"/>
          <w:i/>
          <w:iCs/>
          <w:sz w:val="18"/>
          <w:szCs w:val="18"/>
        </w:rPr>
        <w:t xml:space="preserve">Environmental Factors, Outdoor Air Quality, and Activity Level: Results from 2005 Kansas </w:t>
      </w:r>
      <w:proofErr w:type="spellStart"/>
      <w:r w:rsidRPr="00942D38">
        <w:rPr>
          <w:rFonts w:ascii="Segoe UI" w:hAnsi="Segoe UI" w:cs="Segoe UI"/>
          <w:i/>
          <w:iCs/>
          <w:sz w:val="18"/>
          <w:szCs w:val="18"/>
        </w:rPr>
        <w:t>Behavioral</w:t>
      </w:r>
      <w:proofErr w:type="spellEnd"/>
      <w:r w:rsidRPr="00942D38">
        <w:rPr>
          <w:rFonts w:ascii="Segoe UI" w:hAnsi="Segoe UI" w:cs="Segoe UI"/>
          <w:i/>
          <w:iCs/>
          <w:sz w:val="18"/>
          <w:szCs w:val="18"/>
        </w:rPr>
        <w:t xml:space="preserve"> Risk Factor Surveillance System.</w:t>
      </w:r>
      <w:r w:rsidRPr="00942D38">
        <w:rPr>
          <w:rFonts w:ascii="Segoe UI" w:hAnsi="Segoe UI" w:cs="Segoe UI"/>
          <w:sz w:val="18"/>
          <w:szCs w:val="18"/>
        </w:rPr>
        <w:t xml:space="preserve"> Topeka, KS. </w:t>
      </w:r>
      <w:hyperlink r:id="rId57" w:history="1">
        <w:r w:rsidRPr="00942D38">
          <w:rPr>
            <w:rStyle w:val="Hyperlink"/>
            <w:rFonts w:ascii="Segoe UI" w:hAnsi="Segoe UI" w:cs="Segoe UI"/>
            <w:sz w:val="18"/>
            <w:szCs w:val="18"/>
            <w:u w:val="none"/>
          </w:rPr>
          <w:t>http://www.kdheks.gov/brfss/PDF/cste_report_final.pdf</w:t>
        </w:r>
      </w:hyperlink>
      <w:r w:rsidRPr="00942D38">
        <w:rPr>
          <w:rFonts w:ascii="Segoe UI" w:hAnsi="Segoe UI" w:cs="Segoe UI"/>
          <w:sz w:val="18"/>
          <w:szCs w:val="18"/>
        </w:rPr>
        <w:t>.</w:t>
      </w:r>
    </w:p>
    <w:p w14:paraId="5B13D837"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35AA4BA" w14:textId="2A7CC3FF"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Kapfudzaruwa</w:t>
      </w:r>
      <w:proofErr w:type="spellEnd"/>
      <w:r w:rsidRPr="00942D38">
        <w:rPr>
          <w:rFonts w:ascii="Segoe UI" w:hAnsi="Segoe UI" w:cs="Segoe UI"/>
          <w:sz w:val="18"/>
          <w:szCs w:val="18"/>
        </w:rPr>
        <w:t xml:space="preserve">, F., Fay, J. and Hart, T. (2017). Improved cookstoves in Africa: Explaining adoption patterns. </w:t>
      </w:r>
      <w:r w:rsidRPr="00942D38">
        <w:rPr>
          <w:rFonts w:ascii="Segoe UI" w:hAnsi="Segoe UI" w:cs="Segoe UI"/>
          <w:i/>
          <w:iCs/>
          <w:sz w:val="18"/>
          <w:szCs w:val="18"/>
        </w:rPr>
        <w:t>Development Southern Africa</w:t>
      </w:r>
      <w:r w:rsidRPr="00942D38">
        <w:rPr>
          <w:rFonts w:ascii="Segoe UI" w:hAnsi="Segoe UI" w:cs="Segoe UI"/>
          <w:sz w:val="18"/>
          <w:szCs w:val="18"/>
        </w:rPr>
        <w:t xml:space="preserve"> 34(5), 548-563. </w:t>
      </w:r>
      <w:hyperlink r:id="rId58" w:history="1">
        <w:r w:rsidRPr="007317E4">
          <w:rPr>
            <w:rStyle w:val="Hyperlink"/>
            <w:rFonts w:ascii="Segoe UI" w:hAnsi="Segoe UI" w:cs="Segoe UI"/>
            <w:sz w:val="18"/>
            <w:szCs w:val="18"/>
          </w:rPr>
          <w:t>https://doi.org/10.1080/0376835X.2017.1335592</w:t>
        </w:r>
      </w:hyperlink>
      <w:r w:rsidRPr="00942D38">
        <w:rPr>
          <w:rFonts w:ascii="Segoe UI" w:hAnsi="Segoe UI" w:cs="Segoe UI"/>
          <w:sz w:val="18"/>
          <w:szCs w:val="18"/>
        </w:rPr>
        <w:t>.</w:t>
      </w:r>
      <w:r>
        <w:rPr>
          <w:rFonts w:ascii="Segoe UI" w:hAnsi="Segoe UI" w:cs="Segoe UI"/>
          <w:sz w:val="18"/>
          <w:szCs w:val="18"/>
        </w:rPr>
        <w:t xml:space="preserve"> </w:t>
      </w:r>
    </w:p>
    <w:p w14:paraId="676E38E0"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A88EA41" w14:textId="167D455D"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Kelly, F.J. and </w:t>
      </w:r>
      <w:proofErr w:type="spellStart"/>
      <w:r w:rsidRPr="00942D38">
        <w:rPr>
          <w:rFonts w:ascii="Segoe UI" w:hAnsi="Segoe UI" w:cs="Segoe UI"/>
          <w:sz w:val="18"/>
          <w:szCs w:val="18"/>
        </w:rPr>
        <w:t>Fussell</w:t>
      </w:r>
      <w:proofErr w:type="spellEnd"/>
      <w:r w:rsidRPr="00942D38">
        <w:rPr>
          <w:rFonts w:ascii="Segoe UI" w:hAnsi="Segoe UI" w:cs="Segoe UI"/>
          <w:sz w:val="18"/>
          <w:szCs w:val="18"/>
        </w:rPr>
        <w:t xml:space="preserve">, J.C. (2015). Air pollution and public health: Emerging hazards and improved understanding of risk. </w:t>
      </w:r>
      <w:r w:rsidRPr="00942D38">
        <w:rPr>
          <w:rFonts w:ascii="Segoe UI" w:hAnsi="Segoe UI" w:cs="Segoe UI"/>
          <w:i/>
          <w:iCs/>
          <w:sz w:val="18"/>
          <w:szCs w:val="18"/>
        </w:rPr>
        <w:t>Environmental geochemistry and health</w:t>
      </w:r>
      <w:r w:rsidRPr="00942D38">
        <w:rPr>
          <w:rFonts w:ascii="Segoe UI" w:hAnsi="Segoe UI" w:cs="Segoe UI"/>
          <w:sz w:val="18"/>
          <w:szCs w:val="18"/>
        </w:rPr>
        <w:t xml:space="preserve"> 37(4), 631-649. </w:t>
      </w:r>
      <w:hyperlink r:id="rId59" w:history="1">
        <w:r w:rsidRPr="007317E4">
          <w:rPr>
            <w:rStyle w:val="Hyperlink"/>
            <w:rFonts w:ascii="Segoe UI" w:hAnsi="Segoe UI" w:cs="Segoe UI"/>
            <w:sz w:val="18"/>
            <w:szCs w:val="18"/>
          </w:rPr>
          <w:t>https://doi.org/10.1007/s10653-015-9720-1</w:t>
        </w:r>
      </w:hyperlink>
      <w:r w:rsidRPr="00942D38">
        <w:rPr>
          <w:rFonts w:ascii="Segoe UI" w:hAnsi="Segoe UI" w:cs="Segoe UI"/>
          <w:sz w:val="18"/>
          <w:szCs w:val="18"/>
        </w:rPr>
        <w:t>.</w:t>
      </w:r>
      <w:r>
        <w:rPr>
          <w:rFonts w:ascii="Segoe UI" w:hAnsi="Segoe UI" w:cs="Segoe UI"/>
          <w:sz w:val="18"/>
          <w:szCs w:val="18"/>
        </w:rPr>
        <w:t xml:space="preserve"> </w:t>
      </w:r>
    </w:p>
    <w:p w14:paraId="418F834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9ABEF18" w14:textId="2F19E12E"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Kenya, Ministry of Environment </w:t>
      </w:r>
      <w:proofErr w:type="spellStart"/>
      <w:r w:rsidRPr="00942D38">
        <w:rPr>
          <w:rFonts w:ascii="Segoe UI" w:hAnsi="Segoe UI" w:cs="Segoe UI"/>
          <w:sz w:val="18"/>
          <w:szCs w:val="18"/>
        </w:rPr>
        <w:t>andv</w:t>
      </w:r>
      <w:proofErr w:type="spellEnd"/>
      <w:r w:rsidRPr="00942D38">
        <w:rPr>
          <w:rFonts w:ascii="Segoe UI" w:hAnsi="Segoe UI" w:cs="Segoe UI"/>
          <w:sz w:val="18"/>
          <w:szCs w:val="18"/>
        </w:rPr>
        <w:t xml:space="preserve"> Natural Resources, (2017). </w:t>
      </w:r>
      <w:r w:rsidRPr="00942D38">
        <w:rPr>
          <w:rFonts w:ascii="Segoe UI" w:hAnsi="Segoe UI" w:cs="Segoe UI"/>
          <w:i/>
          <w:iCs/>
          <w:sz w:val="18"/>
          <w:szCs w:val="18"/>
        </w:rPr>
        <w:t>Nationally Determined Contribution Sector Analysis Report: Evidence Base for Updating Kenya’s National Climate Change Action Plan.</w:t>
      </w:r>
      <w:r w:rsidRPr="00942D38">
        <w:rPr>
          <w:rFonts w:ascii="Segoe UI" w:hAnsi="Segoe UI" w:cs="Segoe UI"/>
          <w:sz w:val="18"/>
          <w:szCs w:val="18"/>
        </w:rPr>
        <w:t xml:space="preserve"> Nairobi: Ministry of Environment and Natural Resources. </w:t>
      </w:r>
      <w:hyperlink r:id="rId60" w:history="1">
        <w:r w:rsidRPr="007317E4">
          <w:rPr>
            <w:rStyle w:val="Hyperlink"/>
            <w:rFonts w:ascii="Segoe UI" w:hAnsi="Segoe UI" w:cs="Segoe UI"/>
            <w:sz w:val="18"/>
            <w:szCs w:val="18"/>
          </w:rPr>
          <w:t>http://www.starckplus.com/documents/ta/ndc/NDC%20Sector%20Analysis%20Report%202017.pdf</w:t>
        </w:r>
      </w:hyperlink>
      <w:r w:rsidRPr="00942D38">
        <w:rPr>
          <w:rFonts w:ascii="Segoe UI" w:hAnsi="Segoe UI" w:cs="Segoe UI"/>
          <w:sz w:val="18"/>
          <w:szCs w:val="18"/>
        </w:rPr>
        <w:t>.</w:t>
      </w:r>
      <w:r>
        <w:rPr>
          <w:rFonts w:ascii="Segoe UI" w:hAnsi="Segoe UI" w:cs="Segoe UI"/>
          <w:sz w:val="18"/>
          <w:szCs w:val="18"/>
        </w:rPr>
        <w:t xml:space="preserve"> </w:t>
      </w:r>
    </w:p>
    <w:p w14:paraId="14003D52"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83D1ED8" w14:textId="26D9FA1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Kenya, Ministry of Energy and Petroleum and Sustainable Energy for All (2016). </w:t>
      </w:r>
      <w:r w:rsidRPr="00942D38">
        <w:rPr>
          <w:rFonts w:ascii="Segoe UI" w:hAnsi="Segoe UI" w:cs="Segoe UI"/>
          <w:i/>
          <w:iCs/>
          <w:sz w:val="18"/>
          <w:szCs w:val="18"/>
        </w:rPr>
        <w:t>Kenya Action Agenda.</w:t>
      </w:r>
      <w:r w:rsidRPr="00942D38">
        <w:rPr>
          <w:rFonts w:ascii="Segoe UI" w:hAnsi="Segoe UI" w:cs="Segoe UI"/>
          <w:sz w:val="18"/>
          <w:szCs w:val="18"/>
        </w:rPr>
        <w:t xml:space="preserve"> </w:t>
      </w:r>
      <w:hyperlink r:id="rId61" w:history="1">
        <w:r w:rsidRPr="007317E4">
          <w:rPr>
            <w:rStyle w:val="Hyperlink"/>
            <w:rFonts w:ascii="Segoe UI" w:hAnsi="Segoe UI" w:cs="Segoe UI"/>
            <w:sz w:val="18"/>
            <w:szCs w:val="18"/>
          </w:rPr>
          <w:t>https://www.seforall.org/sites/default/files/Kenya_AA_EN_Released.pdf</w:t>
        </w:r>
      </w:hyperlink>
      <w:r w:rsidRPr="00942D38">
        <w:rPr>
          <w:rFonts w:ascii="Segoe UI" w:hAnsi="Segoe UI" w:cs="Segoe UI"/>
          <w:sz w:val="18"/>
          <w:szCs w:val="18"/>
        </w:rPr>
        <w:t>.</w:t>
      </w:r>
      <w:r>
        <w:rPr>
          <w:rFonts w:ascii="Segoe UI" w:hAnsi="Segoe UI" w:cs="Segoe UI"/>
          <w:sz w:val="18"/>
          <w:szCs w:val="18"/>
        </w:rPr>
        <w:t xml:space="preserve"> </w:t>
      </w:r>
    </w:p>
    <w:p w14:paraId="0BD53D2F"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E98D918" w14:textId="15418E8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Kenya, Ministry of Energy and Petroleum (2015). </w:t>
      </w:r>
      <w:r w:rsidRPr="00942D38">
        <w:rPr>
          <w:rFonts w:ascii="Segoe UI" w:hAnsi="Segoe UI" w:cs="Segoe UI"/>
          <w:i/>
          <w:iCs/>
          <w:sz w:val="18"/>
          <w:szCs w:val="18"/>
        </w:rPr>
        <w:t>Draft Strategy and Action Plan for Bioenergy and LPG Development in Kenya.</w:t>
      </w:r>
      <w:r w:rsidRPr="00942D38">
        <w:rPr>
          <w:rFonts w:ascii="Segoe UI" w:hAnsi="Segoe UI" w:cs="Segoe UI"/>
          <w:sz w:val="18"/>
          <w:szCs w:val="18"/>
        </w:rPr>
        <w:t xml:space="preserve"> Nairobi. </w:t>
      </w:r>
      <w:hyperlink r:id="rId62" w:history="1">
        <w:r w:rsidRPr="007317E4">
          <w:rPr>
            <w:rStyle w:val="Hyperlink"/>
            <w:rFonts w:ascii="Segoe UI" w:hAnsi="Segoe UI" w:cs="Segoe UI"/>
            <w:sz w:val="18"/>
            <w:szCs w:val="18"/>
          </w:rPr>
          <w:t>https://kepsa.or.ke/download/draft-strategy-and-action-plan-for-bioenergy-and-lpg-development-in-kenya/?wpdmdl=12841</w:t>
        </w:r>
      </w:hyperlink>
      <w:r w:rsidRPr="00942D38">
        <w:rPr>
          <w:rFonts w:ascii="Segoe UI" w:hAnsi="Segoe UI" w:cs="Segoe UI"/>
          <w:sz w:val="18"/>
          <w:szCs w:val="18"/>
        </w:rPr>
        <w:t>.</w:t>
      </w:r>
      <w:r>
        <w:rPr>
          <w:rFonts w:ascii="Segoe UI" w:hAnsi="Segoe UI" w:cs="Segoe UI"/>
          <w:sz w:val="18"/>
          <w:szCs w:val="18"/>
        </w:rPr>
        <w:t xml:space="preserve"> </w:t>
      </w:r>
    </w:p>
    <w:p w14:paraId="18CD16DB"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EF29EB0" w14:textId="4E3A57A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Koplitz</w:t>
      </w:r>
      <w:proofErr w:type="spellEnd"/>
      <w:r w:rsidRPr="00942D38">
        <w:rPr>
          <w:rFonts w:ascii="Segoe UI" w:hAnsi="Segoe UI" w:cs="Segoe UI"/>
          <w:sz w:val="18"/>
          <w:szCs w:val="18"/>
        </w:rPr>
        <w:t xml:space="preserve">, S.N., </w:t>
      </w:r>
      <w:proofErr w:type="spellStart"/>
      <w:r w:rsidRPr="00942D38">
        <w:rPr>
          <w:rFonts w:ascii="Segoe UI" w:hAnsi="Segoe UI" w:cs="Segoe UI"/>
          <w:sz w:val="18"/>
          <w:szCs w:val="18"/>
        </w:rPr>
        <w:t>Mickley</w:t>
      </w:r>
      <w:proofErr w:type="spellEnd"/>
      <w:r w:rsidRPr="00942D38">
        <w:rPr>
          <w:rFonts w:ascii="Segoe UI" w:hAnsi="Segoe UI" w:cs="Segoe UI"/>
          <w:sz w:val="18"/>
          <w:szCs w:val="18"/>
        </w:rPr>
        <w:t xml:space="preserve">, L.J., </w:t>
      </w:r>
      <w:proofErr w:type="spellStart"/>
      <w:r w:rsidRPr="00942D38">
        <w:rPr>
          <w:rFonts w:ascii="Segoe UI" w:hAnsi="Segoe UI" w:cs="Segoe UI"/>
          <w:sz w:val="18"/>
          <w:szCs w:val="18"/>
        </w:rPr>
        <w:t>Marlier</w:t>
      </w:r>
      <w:proofErr w:type="spellEnd"/>
      <w:r w:rsidRPr="00942D38">
        <w:rPr>
          <w:rFonts w:ascii="Segoe UI" w:hAnsi="Segoe UI" w:cs="Segoe UI"/>
          <w:sz w:val="18"/>
          <w:szCs w:val="18"/>
        </w:rPr>
        <w:t xml:space="preserve">, M.E., </w:t>
      </w:r>
      <w:proofErr w:type="spellStart"/>
      <w:r w:rsidRPr="00942D38">
        <w:rPr>
          <w:rFonts w:ascii="Segoe UI" w:hAnsi="Segoe UI" w:cs="Segoe UI"/>
          <w:sz w:val="18"/>
          <w:szCs w:val="18"/>
        </w:rPr>
        <w:t>Buonocore</w:t>
      </w:r>
      <w:proofErr w:type="spellEnd"/>
      <w:r w:rsidRPr="00942D38">
        <w:rPr>
          <w:rFonts w:ascii="Segoe UI" w:hAnsi="Segoe UI" w:cs="Segoe UI"/>
          <w:sz w:val="18"/>
          <w:szCs w:val="18"/>
        </w:rPr>
        <w:t>, J.J., Kim, P.S., Liu, T.</w:t>
      </w:r>
      <w:r w:rsidRPr="00942D38">
        <w:rPr>
          <w:rFonts w:ascii="Segoe UI" w:hAnsi="Segoe UI" w:cs="Segoe UI"/>
          <w:i/>
          <w:iCs/>
          <w:sz w:val="18"/>
          <w:szCs w:val="18"/>
        </w:rPr>
        <w:t xml:space="preserve"> et al.</w:t>
      </w:r>
      <w:r w:rsidRPr="00942D38">
        <w:rPr>
          <w:rFonts w:ascii="Segoe UI" w:hAnsi="Segoe UI" w:cs="Segoe UI"/>
          <w:sz w:val="18"/>
          <w:szCs w:val="18"/>
        </w:rPr>
        <w:t xml:space="preserve"> (2016). Public health impacts of the severe haze in Equatorial Asia in September-October 2015: Demonstration of a new framework for informing fire management strategies to reduce downwind smoke exposure. </w:t>
      </w:r>
      <w:r w:rsidRPr="00942D38">
        <w:rPr>
          <w:rFonts w:ascii="Segoe UI" w:hAnsi="Segoe UI" w:cs="Segoe UI"/>
          <w:i/>
          <w:iCs/>
          <w:sz w:val="18"/>
          <w:szCs w:val="18"/>
        </w:rPr>
        <w:t>Environmental Research Letters</w:t>
      </w:r>
      <w:r w:rsidRPr="00942D38">
        <w:rPr>
          <w:rFonts w:ascii="Segoe UI" w:hAnsi="Segoe UI" w:cs="Segoe UI"/>
          <w:sz w:val="18"/>
          <w:szCs w:val="18"/>
        </w:rPr>
        <w:t xml:space="preserve"> 11(9). </w:t>
      </w:r>
      <w:hyperlink r:id="rId63" w:history="1">
        <w:r w:rsidRPr="007317E4">
          <w:rPr>
            <w:rStyle w:val="Hyperlink"/>
            <w:rFonts w:ascii="Segoe UI" w:hAnsi="Segoe UI" w:cs="Segoe UI"/>
            <w:sz w:val="18"/>
            <w:szCs w:val="18"/>
          </w:rPr>
          <w:t>https://doi.org/10.1088/1748-9326/11/9/094023</w:t>
        </w:r>
      </w:hyperlink>
      <w:r w:rsidRPr="00942D38">
        <w:rPr>
          <w:rFonts w:ascii="Segoe UI" w:hAnsi="Segoe UI" w:cs="Segoe UI"/>
          <w:sz w:val="18"/>
          <w:szCs w:val="18"/>
        </w:rPr>
        <w:t>.</w:t>
      </w:r>
      <w:r>
        <w:rPr>
          <w:rFonts w:ascii="Segoe UI" w:hAnsi="Segoe UI" w:cs="Segoe UI"/>
          <w:sz w:val="18"/>
          <w:szCs w:val="18"/>
        </w:rPr>
        <w:t xml:space="preserve"> </w:t>
      </w:r>
    </w:p>
    <w:p w14:paraId="0CBE723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130B599" w14:textId="1C9BF31C"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lastRenderedPageBreak/>
        <w:t>Lambe</w:t>
      </w:r>
      <w:proofErr w:type="spellEnd"/>
      <w:r w:rsidRPr="00942D38">
        <w:rPr>
          <w:rFonts w:ascii="Segoe UI" w:hAnsi="Segoe UI" w:cs="Segoe UI"/>
          <w:sz w:val="18"/>
          <w:szCs w:val="18"/>
        </w:rPr>
        <w:t xml:space="preserve">, F., </w:t>
      </w:r>
      <w:proofErr w:type="spellStart"/>
      <w:r w:rsidRPr="00942D38">
        <w:rPr>
          <w:rFonts w:ascii="Segoe UI" w:hAnsi="Segoe UI" w:cs="Segoe UI"/>
          <w:sz w:val="18"/>
          <w:szCs w:val="18"/>
        </w:rPr>
        <w:t>Jürisoo</w:t>
      </w:r>
      <w:proofErr w:type="spellEnd"/>
      <w:r w:rsidRPr="00942D38">
        <w:rPr>
          <w:rFonts w:ascii="Segoe UI" w:hAnsi="Segoe UI" w:cs="Segoe UI"/>
          <w:sz w:val="18"/>
          <w:szCs w:val="18"/>
        </w:rPr>
        <w:t xml:space="preserve">, M., Lee, C. and Johnson, O. (2015). Can carbon finance transform household energy markets? A review of cookstove projects and programs in Kenya. </w:t>
      </w:r>
      <w:r w:rsidRPr="00942D38">
        <w:rPr>
          <w:rFonts w:ascii="Segoe UI" w:hAnsi="Segoe UI" w:cs="Segoe UI"/>
          <w:i/>
          <w:iCs/>
          <w:sz w:val="18"/>
          <w:szCs w:val="18"/>
        </w:rPr>
        <w:t>Energy Research &amp; Social Science</w:t>
      </w:r>
      <w:r w:rsidRPr="00942D38">
        <w:rPr>
          <w:rFonts w:ascii="Segoe UI" w:hAnsi="Segoe UI" w:cs="Segoe UI"/>
          <w:sz w:val="18"/>
          <w:szCs w:val="18"/>
        </w:rPr>
        <w:t xml:space="preserve"> 5, 55-66. </w:t>
      </w:r>
      <w:hyperlink r:id="rId64" w:history="1">
        <w:r w:rsidRPr="007317E4">
          <w:rPr>
            <w:rStyle w:val="Hyperlink"/>
            <w:rFonts w:ascii="Segoe UI" w:hAnsi="Segoe UI" w:cs="Segoe UI"/>
            <w:sz w:val="18"/>
            <w:szCs w:val="18"/>
          </w:rPr>
          <w:t>https://doi.org/10.1016/j.erss.2014.12.012</w:t>
        </w:r>
      </w:hyperlink>
      <w:r w:rsidRPr="00942D38">
        <w:rPr>
          <w:rFonts w:ascii="Segoe UI" w:hAnsi="Segoe UI" w:cs="Segoe UI"/>
          <w:sz w:val="18"/>
          <w:szCs w:val="18"/>
        </w:rPr>
        <w:t>.</w:t>
      </w:r>
      <w:r>
        <w:rPr>
          <w:rFonts w:ascii="Segoe UI" w:hAnsi="Segoe UI" w:cs="Segoe UI"/>
          <w:sz w:val="18"/>
          <w:szCs w:val="18"/>
        </w:rPr>
        <w:t xml:space="preserve"> </w:t>
      </w:r>
    </w:p>
    <w:p w14:paraId="44B36D9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2805735" w14:textId="335127A8"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Landrigan</w:t>
      </w:r>
      <w:proofErr w:type="spellEnd"/>
      <w:r w:rsidRPr="00942D38">
        <w:rPr>
          <w:rFonts w:ascii="Segoe UI" w:hAnsi="Segoe UI" w:cs="Segoe UI"/>
          <w:sz w:val="18"/>
          <w:szCs w:val="18"/>
        </w:rPr>
        <w:t xml:space="preserve">, P.J. (2017). Air pollution and health. </w:t>
      </w:r>
      <w:r w:rsidRPr="00942D38">
        <w:rPr>
          <w:rFonts w:ascii="Segoe UI" w:hAnsi="Segoe UI" w:cs="Segoe UI"/>
          <w:i/>
          <w:iCs/>
          <w:sz w:val="18"/>
          <w:szCs w:val="18"/>
        </w:rPr>
        <w:t>The Lancet Public Health</w:t>
      </w:r>
      <w:r w:rsidRPr="00942D38">
        <w:rPr>
          <w:rFonts w:ascii="Segoe UI" w:hAnsi="Segoe UI" w:cs="Segoe UI"/>
          <w:sz w:val="18"/>
          <w:szCs w:val="18"/>
        </w:rPr>
        <w:t xml:space="preserve"> 2(1), e4-e5. </w:t>
      </w:r>
      <w:hyperlink r:id="rId65" w:history="1">
        <w:r w:rsidRPr="007317E4">
          <w:rPr>
            <w:rStyle w:val="Hyperlink"/>
            <w:rFonts w:ascii="Segoe UI" w:hAnsi="Segoe UI" w:cs="Segoe UI"/>
            <w:sz w:val="18"/>
            <w:szCs w:val="18"/>
          </w:rPr>
          <w:t>https://doi.org/10.1016/S2468-2667(16)30023-8</w:t>
        </w:r>
      </w:hyperlink>
      <w:r w:rsidRPr="00942D38">
        <w:rPr>
          <w:rFonts w:ascii="Segoe UI" w:hAnsi="Segoe UI" w:cs="Segoe UI"/>
          <w:sz w:val="18"/>
          <w:szCs w:val="18"/>
        </w:rPr>
        <w:t>.</w:t>
      </w:r>
      <w:r>
        <w:rPr>
          <w:rFonts w:ascii="Segoe UI" w:hAnsi="Segoe UI" w:cs="Segoe UI"/>
          <w:sz w:val="18"/>
          <w:szCs w:val="18"/>
        </w:rPr>
        <w:t xml:space="preserve"> </w:t>
      </w:r>
    </w:p>
    <w:p w14:paraId="009E5C4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646E955" w14:textId="5133935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Lewis, A. and Edwards, P. (2016). Validate personal air-pollution sensors. </w:t>
      </w:r>
      <w:r w:rsidRPr="00942D38">
        <w:rPr>
          <w:rFonts w:ascii="Segoe UI" w:hAnsi="Segoe UI" w:cs="Segoe UI"/>
          <w:i/>
          <w:iCs/>
          <w:sz w:val="18"/>
          <w:szCs w:val="18"/>
        </w:rPr>
        <w:t>Nature</w:t>
      </w:r>
      <w:r w:rsidRPr="00942D38">
        <w:rPr>
          <w:rFonts w:ascii="Segoe UI" w:hAnsi="Segoe UI" w:cs="Segoe UI"/>
          <w:sz w:val="18"/>
          <w:szCs w:val="18"/>
        </w:rPr>
        <w:t xml:space="preserve"> 535(7610). </w:t>
      </w:r>
      <w:hyperlink r:id="rId66" w:history="1">
        <w:r w:rsidRPr="007317E4">
          <w:rPr>
            <w:rStyle w:val="Hyperlink"/>
            <w:rFonts w:ascii="Segoe UI" w:hAnsi="Segoe UI" w:cs="Segoe UI"/>
            <w:sz w:val="18"/>
            <w:szCs w:val="18"/>
          </w:rPr>
          <w:t>https://doi.org/10.1038/535029a</w:t>
        </w:r>
      </w:hyperlink>
      <w:r w:rsidRPr="00942D38">
        <w:rPr>
          <w:rFonts w:ascii="Segoe UI" w:hAnsi="Segoe UI" w:cs="Segoe UI"/>
          <w:sz w:val="18"/>
          <w:szCs w:val="18"/>
        </w:rPr>
        <w:t>.</w:t>
      </w:r>
      <w:r>
        <w:rPr>
          <w:rFonts w:ascii="Segoe UI" w:hAnsi="Segoe UI" w:cs="Segoe UI"/>
          <w:sz w:val="18"/>
          <w:szCs w:val="18"/>
        </w:rPr>
        <w:t xml:space="preserve"> </w:t>
      </w:r>
    </w:p>
    <w:p w14:paraId="79723E0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EC2FAF9" w14:textId="13E0A9FB"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Lim, S.S., Vos, T., Flaxman, A.D., </w:t>
      </w:r>
      <w:proofErr w:type="spellStart"/>
      <w:r w:rsidRPr="00942D38">
        <w:rPr>
          <w:rFonts w:ascii="Segoe UI" w:hAnsi="Segoe UI" w:cs="Segoe UI"/>
          <w:sz w:val="18"/>
          <w:szCs w:val="18"/>
        </w:rPr>
        <w:t>Danaei</w:t>
      </w:r>
      <w:proofErr w:type="spellEnd"/>
      <w:r w:rsidRPr="00942D38">
        <w:rPr>
          <w:rFonts w:ascii="Segoe UI" w:hAnsi="Segoe UI" w:cs="Segoe UI"/>
          <w:sz w:val="18"/>
          <w:szCs w:val="18"/>
        </w:rPr>
        <w:t>, G., Shibuya, K., Adair-</w:t>
      </w:r>
      <w:proofErr w:type="spellStart"/>
      <w:r w:rsidRPr="00942D38">
        <w:rPr>
          <w:rFonts w:ascii="Segoe UI" w:hAnsi="Segoe UI" w:cs="Segoe UI"/>
          <w:sz w:val="18"/>
          <w:szCs w:val="18"/>
        </w:rPr>
        <w:t>Rohani</w:t>
      </w:r>
      <w:proofErr w:type="spellEnd"/>
      <w:r w:rsidRPr="00942D38">
        <w:rPr>
          <w:rFonts w:ascii="Segoe UI" w:hAnsi="Segoe UI" w:cs="Segoe UI"/>
          <w:sz w:val="18"/>
          <w:szCs w:val="18"/>
        </w:rPr>
        <w:t>, H.</w:t>
      </w:r>
      <w:r w:rsidRPr="00942D38">
        <w:rPr>
          <w:rFonts w:ascii="Segoe UI" w:hAnsi="Segoe UI" w:cs="Segoe UI"/>
          <w:i/>
          <w:iCs/>
          <w:sz w:val="18"/>
          <w:szCs w:val="18"/>
        </w:rPr>
        <w:t xml:space="preserve"> et al.</w:t>
      </w:r>
      <w:r w:rsidRPr="00942D38">
        <w:rPr>
          <w:rFonts w:ascii="Segoe UI" w:hAnsi="Segoe UI" w:cs="Segoe UI"/>
          <w:sz w:val="18"/>
          <w:szCs w:val="18"/>
        </w:rPr>
        <w:t xml:space="preserve"> (2012). A comparative risk assessment of burden of disease and injury attributable to 67 risk factors and risk factor clusters in 21 regions, 1990–2010: A systematic analysis for the global burden of disease study 2010. </w:t>
      </w:r>
      <w:r w:rsidRPr="00942D38">
        <w:rPr>
          <w:rFonts w:ascii="Segoe UI" w:hAnsi="Segoe UI" w:cs="Segoe UI"/>
          <w:i/>
          <w:iCs/>
          <w:sz w:val="18"/>
          <w:szCs w:val="18"/>
        </w:rPr>
        <w:t>The Lancet</w:t>
      </w:r>
      <w:r w:rsidRPr="00942D38">
        <w:rPr>
          <w:rFonts w:ascii="Segoe UI" w:hAnsi="Segoe UI" w:cs="Segoe UI"/>
          <w:sz w:val="18"/>
          <w:szCs w:val="18"/>
        </w:rPr>
        <w:t xml:space="preserve"> 380(9859), 2224-2260. </w:t>
      </w:r>
      <w:hyperlink r:id="rId67" w:history="1">
        <w:r w:rsidRPr="007317E4">
          <w:rPr>
            <w:rStyle w:val="Hyperlink"/>
            <w:rFonts w:ascii="Segoe UI" w:hAnsi="Segoe UI" w:cs="Segoe UI"/>
            <w:sz w:val="18"/>
            <w:szCs w:val="18"/>
          </w:rPr>
          <w:t>https://doi.org/10.1016/S0140-6736(12)61766-8</w:t>
        </w:r>
      </w:hyperlink>
      <w:r w:rsidRPr="00942D38">
        <w:rPr>
          <w:rFonts w:ascii="Segoe UI" w:hAnsi="Segoe UI" w:cs="Segoe UI"/>
          <w:sz w:val="18"/>
          <w:szCs w:val="18"/>
        </w:rPr>
        <w:t>.</w:t>
      </w:r>
      <w:r>
        <w:rPr>
          <w:rFonts w:ascii="Segoe UI" w:hAnsi="Segoe UI" w:cs="Segoe UI"/>
          <w:sz w:val="18"/>
          <w:szCs w:val="18"/>
        </w:rPr>
        <w:t xml:space="preserve"> </w:t>
      </w:r>
    </w:p>
    <w:p w14:paraId="0922E752"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B10E57F" w14:textId="7749571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Lovell, H., </w:t>
      </w:r>
      <w:proofErr w:type="spellStart"/>
      <w:r w:rsidRPr="00942D38">
        <w:rPr>
          <w:rFonts w:ascii="Segoe UI" w:hAnsi="Segoe UI" w:cs="Segoe UI"/>
          <w:sz w:val="18"/>
          <w:szCs w:val="18"/>
        </w:rPr>
        <w:t>Bulkeley</w:t>
      </w:r>
      <w:proofErr w:type="spellEnd"/>
      <w:r w:rsidRPr="00942D38">
        <w:rPr>
          <w:rFonts w:ascii="Segoe UI" w:hAnsi="Segoe UI" w:cs="Segoe UI"/>
          <w:sz w:val="18"/>
          <w:szCs w:val="18"/>
        </w:rPr>
        <w:t xml:space="preserve">, H. and Owens, S. (2009). Converging agendas? Energy and climate change policies in the UK. </w:t>
      </w:r>
      <w:r w:rsidRPr="00942D38">
        <w:rPr>
          <w:rFonts w:ascii="Segoe UI" w:hAnsi="Segoe UI" w:cs="Segoe UI"/>
          <w:i/>
          <w:iCs/>
          <w:sz w:val="18"/>
          <w:szCs w:val="18"/>
        </w:rPr>
        <w:t>Environment and Planning C: Government and Policy</w:t>
      </w:r>
      <w:r w:rsidRPr="00942D38">
        <w:rPr>
          <w:rFonts w:ascii="Segoe UI" w:hAnsi="Segoe UI" w:cs="Segoe UI"/>
          <w:sz w:val="18"/>
          <w:szCs w:val="18"/>
        </w:rPr>
        <w:t xml:space="preserve"> 27(1), 90-109. </w:t>
      </w:r>
      <w:hyperlink r:id="rId68" w:history="1">
        <w:r w:rsidRPr="007317E4">
          <w:rPr>
            <w:rStyle w:val="Hyperlink"/>
            <w:rFonts w:ascii="Segoe UI" w:hAnsi="Segoe UI" w:cs="Segoe UI"/>
            <w:sz w:val="18"/>
            <w:szCs w:val="18"/>
          </w:rPr>
          <w:t>https://doi.org/10.1068/c0797j</w:t>
        </w:r>
      </w:hyperlink>
      <w:r w:rsidRPr="00942D38">
        <w:rPr>
          <w:rFonts w:ascii="Segoe UI" w:hAnsi="Segoe UI" w:cs="Segoe UI"/>
          <w:sz w:val="18"/>
          <w:szCs w:val="18"/>
        </w:rPr>
        <w:t>.</w:t>
      </w:r>
      <w:r>
        <w:rPr>
          <w:rFonts w:ascii="Segoe UI" w:hAnsi="Segoe UI" w:cs="Segoe UI"/>
          <w:sz w:val="18"/>
          <w:szCs w:val="18"/>
        </w:rPr>
        <w:t xml:space="preserve"> </w:t>
      </w:r>
    </w:p>
    <w:p w14:paraId="7240EF2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023D04F" w14:textId="130AAE8E"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Maas, R. and </w:t>
      </w:r>
      <w:proofErr w:type="spellStart"/>
      <w:r w:rsidRPr="00942D38">
        <w:rPr>
          <w:rFonts w:ascii="Segoe UI" w:hAnsi="Segoe UI" w:cs="Segoe UI"/>
          <w:sz w:val="18"/>
          <w:szCs w:val="18"/>
        </w:rPr>
        <w:t>Grennfelt</w:t>
      </w:r>
      <w:proofErr w:type="spellEnd"/>
      <w:r w:rsidRPr="00942D38">
        <w:rPr>
          <w:rFonts w:ascii="Segoe UI" w:hAnsi="Segoe UI" w:cs="Segoe UI"/>
          <w:sz w:val="18"/>
          <w:szCs w:val="18"/>
        </w:rPr>
        <w:t xml:space="preserve">, P. (2016). </w:t>
      </w:r>
      <w:r w:rsidRPr="00942D38">
        <w:rPr>
          <w:rFonts w:ascii="Segoe UI" w:hAnsi="Segoe UI" w:cs="Segoe UI"/>
          <w:i/>
          <w:iCs/>
          <w:sz w:val="18"/>
          <w:szCs w:val="18"/>
        </w:rPr>
        <w:t>Towards Cleaner Air. Scientific Assessment Report 2016. EMEP Steering Body and Working Group on Effects of the Convention on Long-Range Transboundary Air Pollution.</w:t>
      </w:r>
      <w:r w:rsidRPr="00942D38">
        <w:rPr>
          <w:rFonts w:ascii="Segoe UI" w:hAnsi="Segoe UI" w:cs="Segoe UI"/>
          <w:sz w:val="18"/>
          <w:szCs w:val="18"/>
        </w:rPr>
        <w:t xml:space="preserve"> Oslo. </w:t>
      </w:r>
      <w:hyperlink r:id="rId69" w:history="1">
        <w:r w:rsidRPr="007317E4">
          <w:rPr>
            <w:rStyle w:val="Hyperlink"/>
            <w:rFonts w:ascii="Segoe UI" w:hAnsi="Segoe UI" w:cs="Segoe UI"/>
            <w:sz w:val="18"/>
            <w:szCs w:val="18"/>
          </w:rPr>
          <w:t>http://www.unece.org/fileadmin/DAM/env/documents/2016/AIR/Publications/CLRTAP_Scientific_Assessment_Report_-_Final_20-5-2016.pdf</w:t>
        </w:r>
      </w:hyperlink>
      <w:r w:rsidRPr="00942D38">
        <w:rPr>
          <w:rFonts w:ascii="Segoe UI" w:hAnsi="Segoe UI" w:cs="Segoe UI"/>
          <w:sz w:val="18"/>
          <w:szCs w:val="18"/>
        </w:rPr>
        <w:t>.</w:t>
      </w:r>
      <w:r>
        <w:rPr>
          <w:rFonts w:ascii="Segoe UI" w:hAnsi="Segoe UI" w:cs="Segoe UI"/>
          <w:sz w:val="18"/>
          <w:szCs w:val="18"/>
        </w:rPr>
        <w:t xml:space="preserve"> </w:t>
      </w:r>
    </w:p>
    <w:p w14:paraId="38FB4D6D"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BD62990"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Malaysian Nature Society Science and Conservation Unit (1997). The haze thing. </w:t>
      </w:r>
      <w:r w:rsidRPr="00942D38">
        <w:rPr>
          <w:rFonts w:ascii="Segoe UI" w:hAnsi="Segoe UI" w:cs="Segoe UI"/>
          <w:i/>
          <w:iCs/>
          <w:sz w:val="18"/>
          <w:szCs w:val="18"/>
        </w:rPr>
        <w:t>Malaysian Naturalist</w:t>
      </w:r>
      <w:r w:rsidRPr="00942D38">
        <w:rPr>
          <w:rFonts w:ascii="Segoe UI" w:hAnsi="Segoe UI" w:cs="Segoe UI"/>
          <w:sz w:val="18"/>
          <w:szCs w:val="18"/>
        </w:rPr>
        <w:t xml:space="preserve"> 51(2), 18-21.</w:t>
      </w:r>
    </w:p>
    <w:p w14:paraId="0205406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E85312C" w14:textId="740F9FD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Mansfield, C. and Corey, C. (2003). </w:t>
      </w:r>
      <w:r w:rsidRPr="00942D38">
        <w:rPr>
          <w:rFonts w:ascii="Segoe UI" w:hAnsi="Segoe UI" w:cs="Segoe UI"/>
          <w:i/>
          <w:iCs/>
          <w:sz w:val="18"/>
          <w:szCs w:val="18"/>
        </w:rPr>
        <w:t>Task 4: Analysis of Survey Data on Ozone Alert Days: Final Report.</w:t>
      </w:r>
      <w:r w:rsidRPr="00942D38">
        <w:rPr>
          <w:rFonts w:ascii="Segoe UI" w:hAnsi="Segoe UI" w:cs="Segoe UI"/>
          <w:sz w:val="18"/>
          <w:szCs w:val="18"/>
        </w:rPr>
        <w:t xml:space="preserve"> Research Triangle Park, NC: United States Environmental Protection Agency. </w:t>
      </w:r>
      <w:hyperlink r:id="rId70" w:history="1">
        <w:r w:rsidRPr="007317E4">
          <w:rPr>
            <w:rStyle w:val="Hyperlink"/>
            <w:rFonts w:ascii="Segoe UI" w:hAnsi="Segoe UI" w:cs="Segoe UI"/>
            <w:sz w:val="18"/>
            <w:szCs w:val="18"/>
          </w:rPr>
          <w:t>https://www.rti.org/sites/default/files/resources/rti-publication-file-83190b2b-f906-414b-9709-8bf84f88b367.pdf</w:t>
        </w:r>
      </w:hyperlink>
      <w:r w:rsidRPr="00942D38">
        <w:rPr>
          <w:rFonts w:ascii="Segoe UI" w:hAnsi="Segoe UI" w:cs="Segoe UI"/>
          <w:sz w:val="18"/>
          <w:szCs w:val="18"/>
        </w:rPr>
        <w:t>.</w:t>
      </w:r>
      <w:r>
        <w:rPr>
          <w:rFonts w:ascii="Segoe UI" w:hAnsi="Segoe UI" w:cs="Segoe UI"/>
          <w:sz w:val="18"/>
          <w:szCs w:val="18"/>
        </w:rPr>
        <w:t xml:space="preserve"> </w:t>
      </w:r>
    </w:p>
    <w:p w14:paraId="76BC38D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DDD17AD" w14:textId="03486965"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Mansfield, C., Johnson, F.R. and van </w:t>
      </w:r>
      <w:proofErr w:type="spellStart"/>
      <w:r w:rsidRPr="00942D38">
        <w:rPr>
          <w:rFonts w:ascii="Segoe UI" w:hAnsi="Segoe UI" w:cs="Segoe UI"/>
          <w:sz w:val="18"/>
          <w:szCs w:val="18"/>
        </w:rPr>
        <w:t>Houtven</w:t>
      </w:r>
      <w:proofErr w:type="spellEnd"/>
      <w:r w:rsidRPr="00942D38">
        <w:rPr>
          <w:rFonts w:ascii="Segoe UI" w:hAnsi="Segoe UI" w:cs="Segoe UI"/>
          <w:sz w:val="18"/>
          <w:szCs w:val="18"/>
        </w:rPr>
        <w:t xml:space="preserve">, G. (2006). The missing piece: Valuing averting </w:t>
      </w:r>
      <w:proofErr w:type="spellStart"/>
      <w:r w:rsidRPr="00942D38">
        <w:rPr>
          <w:rFonts w:ascii="Segoe UI" w:hAnsi="Segoe UI" w:cs="Segoe UI"/>
          <w:sz w:val="18"/>
          <w:szCs w:val="18"/>
        </w:rPr>
        <w:t>behavior</w:t>
      </w:r>
      <w:proofErr w:type="spellEnd"/>
      <w:r w:rsidRPr="00942D38">
        <w:rPr>
          <w:rFonts w:ascii="Segoe UI" w:hAnsi="Segoe UI" w:cs="Segoe UI"/>
          <w:sz w:val="18"/>
          <w:szCs w:val="18"/>
        </w:rPr>
        <w:t xml:space="preserve"> for children's ozone exposures. </w:t>
      </w:r>
      <w:r w:rsidRPr="00942D38">
        <w:rPr>
          <w:rFonts w:ascii="Segoe UI" w:hAnsi="Segoe UI" w:cs="Segoe UI"/>
          <w:i/>
          <w:iCs/>
          <w:sz w:val="18"/>
          <w:szCs w:val="18"/>
        </w:rPr>
        <w:t>Resource and Energy Economics</w:t>
      </w:r>
      <w:r w:rsidRPr="00942D38">
        <w:rPr>
          <w:rFonts w:ascii="Segoe UI" w:hAnsi="Segoe UI" w:cs="Segoe UI"/>
          <w:sz w:val="18"/>
          <w:szCs w:val="18"/>
        </w:rPr>
        <w:t xml:space="preserve"> 28(3), 215-228. </w:t>
      </w:r>
      <w:hyperlink r:id="rId71" w:history="1">
        <w:r w:rsidRPr="007317E4">
          <w:rPr>
            <w:rStyle w:val="Hyperlink"/>
            <w:rFonts w:ascii="Segoe UI" w:hAnsi="Segoe UI" w:cs="Segoe UI"/>
            <w:sz w:val="18"/>
            <w:szCs w:val="18"/>
          </w:rPr>
          <w:t>https://doi.org/10.1016/j.reseneeco.2006.02.002</w:t>
        </w:r>
      </w:hyperlink>
      <w:r w:rsidRPr="00942D38">
        <w:rPr>
          <w:rFonts w:ascii="Segoe UI" w:hAnsi="Segoe UI" w:cs="Segoe UI"/>
          <w:sz w:val="18"/>
          <w:szCs w:val="18"/>
        </w:rPr>
        <w:t>.</w:t>
      </w:r>
      <w:r>
        <w:rPr>
          <w:rFonts w:ascii="Segoe UI" w:hAnsi="Segoe UI" w:cs="Segoe UI"/>
          <w:sz w:val="18"/>
          <w:szCs w:val="18"/>
        </w:rPr>
        <w:t xml:space="preserve"> </w:t>
      </w:r>
    </w:p>
    <w:p w14:paraId="15E208A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B7319CF" w14:textId="3A61FA8E"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Mansfield, C., Sinha, P. and </w:t>
      </w:r>
      <w:proofErr w:type="spellStart"/>
      <w:r w:rsidRPr="00942D38">
        <w:rPr>
          <w:rFonts w:ascii="Segoe UI" w:hAnsi="Segoe UI" w:cs="Segoe UI"/>
          <w:sz w:val="18"/>
          <w:szCs w:val="18"/>
        </w:rPr>
        <w:t>Henrion</w:t>
      </w:r>
      <w:proofErr w:type="spellEnd"/>
      <w:r w:rsidRPr="00942D38">
        <w:rPr>
          <w:rFonts w:ascii="Segoe UI" w:hAnsi="Segoe UI" w:cs="Segoe UI"/>
          <w:sz w:val="18"/>
          <w:szCs w:val="18"/>
        </w:rPr>
        <w:t xml:space="preserve">, M. (2009). </w:t>
      </w:r>
      <w:r w:rsidRPr="00942D38">
        <w:rPr>
          <w:rFonts w:ascii="Segoe UI" w:hAnsi="Segoe UI" w:cs="Segoe UI"/>
          <w:i/>
          <w:iCs/>
          <w:sz w:val="18"/>
          <w:szCs w:val="18"/>
        </w:rPr>
        <w:t>Influence Analysis in Support of Characterizing Uncertainty in Human Health Benefits Analysis.</w:t>
      </w:r>
      <w:r w:rsidRPr="00942D38">
        <w:rPr>
          <w:rFonts w:ascii="Segoe UI" w:hAnsi="Segoe UI" w:cs="Segoe UI"/>
          <w:sz w:val="18"/>
          <w:szCs w:val="18"/>
        </w:rPr>
        <w:t xml:space="preserve"> United States Environmental Protection Agency. </w:t>
      </w:r>
      <w:hyperlink r:id="rId72" w:history="1">
        <w:r w:rsidRPr="007317E4">
          <w:rPr>
            <w:rStyle w:val="Hyperlink"/>
            <w:rFonts w:ascii="Segoe UI" w:hAnsi="Segoe UI" w:cs="Segoe UI"/>
            <w:sz w:val="18"/>
            <w:szCs w:val="18"/>
          </w:rPr>
          <w:t>https://www3.epa.gov/ttnecas1/regdata/Benefits/influence_analysis_final_report_psg.pdf</w:t>
        </w:r>
      </w:hyperlink>
      <w:r w:rsidRPr="00942D38">
        <w:rPr>
          <w:rFonts w:ascii="Segoe UI" w:hAnsi="Segoe UI" w:cs="Segoe UI"/>
          <w:sz w:val="18"/>
          <w:szCs w:val="18"/>
        </w:rPr>
        <w:t>.</w:t>
      </w:r>
      <w:r>
        <w:rPr>
          <w:rFonts w:ascii="Segoe UI" w:hAnsi="Segoe UI" w:cs="Segoe UI"/>
          <w:sz w:val="18"/>
          <w:szCs w:val="18"/>
        </w:rPr>
        <w:t xml:space="preserve"> </w:t>
      </w:r>
    </w:p>
    <w:p w14:paraId="29B1C89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468C051" w14:textId="4102E10C"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McDermott, M., Srivastava, R. and </w:t>
      </w:r>
      <w:proofErr w:type="spellStart"/>
      <w:r w:rsidRPr="00942D38">
        <w:rPr>
          <w:rFonts w:ascii="Segoe UI" w:hAnsi="Segoe UI" w:cs="Segoe UI"/>
          <w:sz w:val="18"/>
          <w:szCs w:val="18"/>
        </w:rPr>
        <w:t>Croskell</w:t>
      </w:r>
      <w:proofErr w:type="spellEnd"/>
      <w:r w:rsidRPr="00942D38">
        <w:rPr>
          <w:rFonts w:ascii="Segoe UI" w:hAnsi="Segoe UI" w:cs="Segoe UI"/>
          <w:sz w:val="18"/>
          <w:szCs w:val="18"/>
        </w:rPr>
        <w:t xml:space="preserve">, S. (2006). Awareness of and compliance with air pollution advisories: A comparison of parents of asthmatics with other parents. </w:t>
      </w:r>
      <w:r w:rsidRPr="00942D38">
        <w:rPr>
          <w:rFonts w:ascii="Segoe UI" w:hAnsi="Segoe UI" w:cs="Segoe UI"/>
          <w:i/>
          <w:iCs/>
          <w:sz w:val="18"/>
          <w:szCs w:val="18"/>
        </w:rPr>
        <w:t>Journal of Asthma</w:t>
      </w:r>
      <w:r w:rsidRPr="00942D38">
        <w:rPr>
          <w:rFonts w:ascii="Segoe UI" w:hAnsi="Segoe UI" w:cs="Segoe UI"/>
          <w:sz w:val="18"/>
          <w:szCs w:val="18"/>
        </w:rPr>
        <w:t xml:space="preserve"> 43(3), 235-239. </w:t>
      </w:r>
      <w:hyperlink r:id="rId73" w:history="1">
        <w:r w:rsidRPr="007317E4">
          <w:rPr>
            <w:rStyle w:val="Hyperlink"/>
            <w:rFonts w:ascii="Segoe UI" w:hAnsi="Segoe UI" w:cs="Segoe UI"/>
            <w:sz w:val="18"/>
            <w:szCs w:val="18"/>
          </w:rPr>
          <w:t>https://doi.org/10.1080/02770900600567114</w:t>
        </w:r>
      </w:hyperlink>
      <w:r w:rsidRPr="00942D38">
        <w:rPr>
          <w:rFonts w:ascii="Segoe UI" w:hAnsi="Segoe UI" w:cs="Segoe UI"/>
          <w:sz w:val="18"/>
          <w:szCs w:val="18"/>
        </w:rPr>
        <w:t>.</w:t>
      </w:r>
      <w:r>
        <w:rPr>
          <w:rFonts w:ascii="Segoe UI" w:hAnsi="Segoe UI" w:cs="Segoe UI"/>
          <w:sz w:val="18"/>
          <w:szCs w:val="18"/>
        </w:rPr>
        <w:t xml:space="preserve"> </w:t>
      </w:r>
    </w:p>
    <w:p w14:paraId="61A6A22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0A71A31" w14:textId="54F4EFB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Melamed, J.R., Riley, R.S., Valcourt, D.M. and Day, E.S. (2016). Using gold nanoparticles to disrupt the </w:t>
      </w:r>
      <w:proofErr w:type="spellStart"/>
      <w:r w:rsidRPr="00942D38">
        <w:rPr>
          <w:rFonts w:ascii="Segoe UI" w:hAnsi="Segoe UI" w:cs="Segoe UI"/>
          <w:sz w:val="18"/>
          <w:szCs w:val="18"/>
        </w:rPr>
        <w:t>tumor</w:t>
      </w:r>
      <w:proofErr w:type="spellEnd"/>
      <w:r w:rsidRPr="00942D38">
        <w:rPr>
          <w:rFonts w:ascii="Segoe UI" w:hAnsi="Segoe UI" w:cs="Segoe UI"/>
          <w:sz w:val="18"/>
          <w:szCs w:val="18"/>
        </w:rPr>
        <w:t xml:space="preserve"> microenvironment: An emerging therapeutic strategy. </w:t>
      </w:r>
      <w:r w:rsidRPr="00942D38">
        <w:rPr>
          <w:rFonts w:ascii="Segoe UI" w:hAnsi="Segoe UI" w:cs="Segoe UI"/>
          <w:i/>
          <w:iCs/>
          <w:sz w:val="18"/>
          <w:szCs w:val="18"/>
        </w:rPr>
        <w:t>ACS Nano</w:t>
      </w:r>
      <w:r w:rsidRPr="00942D38">
        <w:rPr>
          <w:rFonts w:ascii="Segoe UI" w:hAnsi="Segoe UI" w:cs="Segoe UI"/>
          <w:sz w:val="18"/>
          <w:szCs w:val="18"/>
        </w:rPr>
        <w:t xml:space="preserve"> 10(12), 10631-10635. </w:t>
      </w:r>
      <w:hyperlink r:id="rId74" w:history="1">
        <w:r w:rsidRPr="007317E4">
          <w:rPr>
            <w:rStyle w:val="Hyperlink"/>
            <w:rFonts w:ascii="Segoe UI" w:hAnsi="Segoe UI" w:cs="Segoe UI"/>
            <w:sz w:val="18"/>
            <w:szCs w:val="18"/>
          </w:rPr>
          <w:t>https://doi.org/10.1021/acsnano.6b07673</w:t>
        </w:r>
      </w:hyperlink>
      <w:r w:rsidRPr="00942D38">
        <w:rPr>
          <w:rFonts w:ascii="Segoe UI" w:hAnsi="Segoe UI" w:cs="Segoe UI"/>
          <w:sz w:val="18"/>
          <w:szCs w:val="18"/>
        </w:rPr>
        <w:t>.</w:t>
      </w:r>
      <w:r>
        <w:rPr>
          <w:rFonts w:ascii="Segoe UI" w:hAnsi="Segoe UI" w:cs="Segoe UI"/>
          <w:sz w:val="18"/>
          <w:szCs w:val="18"/>
        </w:rPr>
        <w:t xml:space="preserve"> </w:t>
      </w:r>
    </w:p>
    <w:p w14:paraId="35A49ED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76EA488" w14:textId="00368B18"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Myhre, G., </w:t>
      </w:r>
      <w:proofErr w:type="spellStart"/>
      <w:r w:rsidRPr="00942D38">
        <w:rPr>
          <w:rFonts w:ascii="Segoe UI" w:hAnsi="Segoe UI" w:cs="Segoe UI"/>
          <w:sz w:val="18"/>
          <w:szCs w:val="18"/>
        </w:rPr>
        <w:t>Samset</w:t>
      </w:r>
      <w:proofErr w:type="spellEnd"/>
      <w:r w:rsidRPr="00942D38">
        <w:rPr>
          <w:rFonts w:ascii="Segoe UI" w:hAnsi="Segoe UI" w:cs="Segoe UI"/>
          <w:sz w:val="18"/>
          <w:szCs w:val="18"/>
        </w:rPr>
        <w:t xml:space="preserve">, B.H., Schulz, M., </w:t>
      </w:r>
      <w:proofErr w:type="spellStart"/>
      <w:r w:rsidRPr="00942D38">
        <w:rPr>
          <w:rFonts w:ascii="Segoe UI" w:hAnsi="Segoe UI" w:cs="Segoe UI"/>
          <w:sz w:val="18"/>
          <w:szCs w:val="18"/>
        </w:rPr>
        <w:t>Balkanski</w:t>
      </w:r>
      <w:proofErr w:type="spellEnd"/>
      <w:r w:rsidRPr="00942D38">
        <w:rPr>
          <w:rFonts w:ascii="Segoe UI" w:hAnsi="Segoe UI" w:cs="Segoe UI"/>
          <w:sz w:val="18"/>
          <w:szCs w:val="18"/>
        </w:rPr>
        <w:t>, Y., Bauer, S., Berntsen, T.K.</w:t>
      </w:r>
      <w:r w:rsidRPr="00942D38">
        <w:rPr>
          <w:rFonts w:ascii="Segoe UI" w:hAnsi="Segoe UI" w:cs="Segoe UI"/>
          <w:i/>
          <w:iCs/>
          <w:sz w:val="18"/>
          <w:szCs w:val="18"/>
        </w:rPr>
        <w:t xml:space="preserve"> et al.</w:t>
      </w:r>
      <w:r w:rsidRPr="00942D38">
        <w:rPr>
          <w:rFonts w:ascii="Segoe UI" w:hAnsi="Segoe UI" w:cs="Segoe UI"/>
          <w:sz w:val="18"/>
          <w:szCs w:val="18"/>
        </w:rPr>
        <w:t xml:space="preserve"> (2013). Radiative forcing of the direct aerosol effect from </w:t>
      </w:r>
      <w:proofErr w:type="spellStart"/>
      <w:r w:rsidRPr="00942D38">
        <w:rPr>
          <w:rFonts w:ascii="Segoe UI" w:hAnsi="Segoe UI" w:cs="Segoe UI"/>
          <w:sz w:val="18"/>
          <w:szCs w:val="18"/>
        </w:rPr>
        <w:t>AeroCom</w:t>
      </w:r>
      <w:proofErr w:type="spellEnd"/>
      <w:r w:rsidRPr="00942D38">
        <w:rPr>
          <w:rFonts w:ascii="Segoe UI" w:hAnsi="Segoe UI" w:cs="Segoe UI"/>
          <w:sz w:val="18"/>
          <w:szCs w:val="18"/>
        </w:rPr>
        <w:t xml:space="preserve"> Phase II simulations. </w:t>
      </w:r>
      <w:r w:rsidRPr="00942D38">
        <w:rPr>
          <w:rFonts w:ascii="Segoe UI" w:hAnsi="Segoe UI" w:cs="Segoe UI"/>
          <w:i/>
          <w:iCs/>
          <w:sz w:val="18"/>
          <w:szCs w:val="18"/>
        </w:rPr>
        <w:t>Atmospheric Chemistry and Physics</w:t>
      </w:r>
      <w:r w:rsidRPr="00942D38">
        <w:rPr>
          <w:rFonts w:ascii="Segoe UI" w:hAnsi="Segoe UI" w:cs="Segoe UI"/>
          <w:sz w:val="18"/>
          <w:szCs w:val="18"/>
        </w:rPr>
        <w:t xml:space="preserve"> 13, 1853–1877. </w:t>
      </w:r>
      <w:hyperlink r:id="rId75" w:history="1">
        <w:r w:rsidRPr="007317E4">
          <w:rPr>
            <w:rStyle w:val="Hyperlink"/>
            <w:rFonts w:ascii="Segoe UI" w:hAnsi="Segoe UI" w:cs="Segoe UI"/>
            <w:sz w:val="18"/>
            <w:szCs w:val="18"/>
          </w:rPr>
          <w:t>https://doi.org/10.5194/acp-13-1853-2013</w:t>
        </w:r>
      </w:hyperlink>
      <w:r w:rsidRPr="00942D38">
        <w:rPr>
          <w:rFonts w:ascii="Segoe UI" w:hAnsi="Segoe UI" w:cs="Segoe UI"/>
          <w:sz w:val="18"/>
          <w:szCs w:val="18"/>
        </w:rPr>
        <w:t>.</w:t>
      </w:r>
      <w:r>
        <w:rPr>
          <w:rFonts w:ascii="Segoe UI" w:hAnsi="Segoe UI" w:cs="Segoe UI"/>
          <w:sz w:val="18"/>
          <w:szCs w:val="18"/>
        </w:rPr>
        <w:t xml:space="preserve"> </w:t>
      </w:r>
    </w:p>
    <w:p w14:paraId="3AAAA3A3"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F5480D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Natural Capital Partners (2018). </w:t>
      </w:r>
      <w:r w:rsidRPr="00942D38">
        <w:rPr>
          <w:rFonts w:ascii="Segoe UI" w:hAnsi="Segoe UI" w:cs="Segoe UI"/>
          <w:i/>
          <w:iCs/>
          <w:sz w:val="18"/>
          <w:szCs w:val="18"/>
        </w:rPr>
        <w:t>Kenya improved cookstoves</w:t>
      </w:r>
      <w:r w:rsidRPr="00942D38">
        <w:rPr>
          <w:rFonts w:ascii="Segoe UI" w:hAnsi="Segoe UI" w:cs="Segoe UI"/>
          <w:sz w:val="18"/>
          <w:szCs w:val="18"/>
        </w:rPr>
        <w:t>. [Natural Capital Partners https://www.naturalcapitalpartners.com/projects/project/kenya-improved-cookstoves (Accessed: 1 May 2018).</w:t>
      </w:r>
    </w:p>
    <w:p w14:paraId="27DF0BF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2DB29D2" w14:textId="0A3CE9A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Nazeer, N. and </w:t>
      </w:r>
      <w:proofErr w:type="spellStart"/>
      <w:r w:rsidRPr="00942D38">
        <w:rPr>
          <w:rFonts w:ascii="Segoe UI" w:hAnsi="Segoe UI" w:cs="Segoe UI"/>
          <w:sz w:val="18"/>
          <w:szCs w:val="18"/>
        </w:rPr>
        <w:t>Furuoka</w:t>
      </w:r>
      <w:proofErr w:type="spellEnd"/>
      <w:r w:rsidRPr="00942D38">
        <w:rPr>
          <w:rFonts w:ascii="Segoe UI" w:hAnsi="Segoe UI" w:cs="Segoe UI"/>
          <w:sz w:val="18"/>
          <w:szCs w:val="18"/>
        </w:rPr>
        <w:t xml:space="preserve">, F. (2017). Overview of ASEAN environment transboundary haze pollution agreement and public health. </w:t>
      </w:r>
      <w:r w:rsidRPr="00942D38">
        <w:rPr>
          <w:rFonts w:ascii="Segoe UI" w:hAnsi="Segoe UI" w:cs="Segoe UI"/>
          <w:i/>
          <w:iCs/>
          <w:sz w:val="18"/>
          <w:szCs w:val="18"/>
        </w:rPr>
        <w:t>International Journal of Asia Pacific Studies</w:t>
      </w:r>
      <w:r w:rsidRPr="00942D38">
        <w:rPr>
          <w:rFonts w:ascii="Segoe UI" w:hAnsi="Segoe UI" w:cs="Segoe UI"/>
          <w:sz w:val="18"/>
          <w:szCs w:val="18"/>
        </w:rPr>
        <w:t xml:space="preserve"> 13(1), 73-94. </w:t>
      </w:r>
      <w:hyperlink r:id="rId76" w:history="1">
        <w:r w:rsidRPr="007317E4">
          <w:rPr>
            <w:rStyle w:val="Hyperlink"/>
            <w:rFonts w:ascii="Segoe UI" w:hAnsi="Segoe UI" w:cs="Segoe UI"/>
            <w:sz w:val="18"/>
            <w:szCs w:val="18"/>
          </w:rPr>
          <w:t>https://doi.org/10.21315/ijaps2017.13.1.4</w:t>
        </w:r>
      </w:hyperlink>
      <w:r w:rsidRPr="00942D38">
        <w:rPr>
          <w:rFonts w:ascii="Segoe UI" w:hAnsi="Segoe UI" w:cs="Segoe UI"/>
          <w:sz w:val="18"/>
          <w:szCs w:val="18"/>
        </w:rPr>
        <w:t>.</w:t>
      </w:r>
      <w:r>
        <w:rPr>
          <w:rFonts w:ascii="Segoe UI" w:hAnsi="Segoe UI" w:cs="Segoe UI"/>
          <w:sz w:val="18"/>
          <w:szCs w:val="18"/>
        </w:rPr>
        <w:t xml:space="preserve"> </w:t>
      </w:r>
    </w:p>
    <w:p w14:paraId="1CE0396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105FAC7" w14:textId="3DBC35A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Neidell</w:t>
      </w:r>
      <w:proofErr w:type="spellEnd"/>
      <w:r w:rsidRPr="00942D38">
        <w:rPr>
          <w:rFonts w:ascii="Segoe UI" w:hAnsi="Segoe UI" w:cs="Segoe UI"/>
          <w:sz w:val="18"/>
          <w:szCs w:val="18"/>
        </w:rPr>
        <w:t xml:space="preserve">, M.J. (2008). </w:t>
      </w:r>
      <w:r w:rsidRPr="00942D38">
        <w:rPr>
          <w:rFonts w:ascii="Segoe UI" w:hAnsi="Segoe UI" w:cs="Segoe UI"/>
          <w:i/>
          <w:iCs/>
          <w:sz w:val="18"/>
          <w:szCs w:val="18"/>
        </w:rPr>
        <w:t xml:space="preserve">Information, Avoidance </w:t>
      </w:r>
      <w:proofErr w:type="spellStart"/>
      <w:r w:rsidRPr="00942D38">
        <w:rPr>
          <w:rFonts w:ascii="Segoe UI" w:hAnsi="Segoe UI" w:cs="Segoe UI"/>
          <w:i/>
          <w:iCs/>
          <w:sz w:val="18"/>
          <w:szCs w:val="18"/>
        </w:rPr>
        <w:t>Behavior</w:t>
      </w:r>
      <w:proofErr w:type="spellEnd"/>
      <w:r w:rsidRPr="00942D38">
        <w:rPr>
          <w:rFonts w:ascii="Segoe UI" w:hAnsi="Segoe UI" w:cs="Segoe UI"/>
          <w:i/>
          <w:iCs/>
          <w:sz w:val="18"/>
          <w:szCs w:val="18"/>
        </w:rPr>
        <w:t>, and Health: The Effect of Ozone on Asthma hospitalizations.</w:t>
      </w:r>
      <w:r w:rsidRPr="00942D38">
        <w:rPr>
          <w:rFonts w:ascii="Segoe UI" w:hAnsi="Segoe UI" w:cs="Segoe UI"/>
          <w:sz w:val="18"/>
          <w:szCs w:val="18"/>
        </w:rPr>
        <w:t xml:space="preserve"> Cambridge, MA National Bureau of Economic Research. </w:t>
      </w:r>
      <w:hyperlink r:id="rId77" w:history="1">
        <w:r w:rsidRPr="007317E4">
          <w:rPr>
            <w:rStyle w:val="Hyperlink"/>
            <w:rFonts w:ascii="Segoe UI" w:hAnsi="Segoe UI" w:cs="Segoe UI"/>
            <w:sz w:val="18"/>
            <w:szCs w:val="18"/>
          </w:rPr>
          <w:t>https://www.nber.org/papers/w14209.pdf</w:t>
        </w:r>
      </w:hyperlink>
      <w:r w:rsidRPr="00942D38">
        <w:rPr>
          <w:rFonts w:ascii="Segoe UI" w:hAnsi="Segoe UI" w:cs="Segoe UI"/>
          <w:sz w:val="18"/>
          <w:szCs w:val="18"/>
        </w:rPr>
        <w:t>.</w:t>
      </w:r>
      <w:r>
        <w:rPr>
          <w:rFonts w:ascii="Segoe UI" w:hAnsi="Segoe UI" w:cs="Segoe UI"/>
          <w:sz w:val="18"/>
          <w:szCs w:val="18"/>
        </w:rPr>
        <w:t xml:space="preserve"> </w:t>
      </w:r>
    </w:p>
    <w:p w14:paraId="3D729B8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0C47D53" w14:textId="60E84EBE"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Pilishvili</w:t>
      </w:r>
      <w:proofErr w:type="spellEnd"/>
      <w:r w:rsidRPr="00942D38">
        <w:rPr>
          <w:rFonts w:ascii="Segoe UI" w:hAnsi="Segoe UI" w:cs="Segoe UI"/>
          <w:sz w:val="18"/>
          <w:szCs w:val="18"/>
        </w:rPr>
        <w:t xml:space="preserve">, T., Loo, J.D., </w:t>
      </w:r>
      <w:proofErr w:type="spellStart"/>
      <w:r w:rsidRPr="00942D38">
        <w:rPr>
          <w:rFonts w:ascii="Segoe UI" w:hAnsi="Segoe UI" w:cs="Segoe UI"/>
          <w:sz w:val="18"/>
          <w:szCs w:val="18"/>
        </w:rPr>
        <w:t>Schrag</w:t>
      </w:r>
      <w:proofErr w:type="spellEnd"/>
      <w:r w:rsidRPr="00942D38">
        <w:rPr>
          <w:rFonts w:ascii="Segoe UI" w:hAnsi="Segoe UI" w:cs="Segoe UI"/>
          <w:sz w:val="18"/>
          <w:szCs w:val="18"/>
        </w:rPr>
        <w:t>, S., Stanistreet, D., Christensen, B., Yip, F.</w:t>
      </w:r>
      <w:r w:rsidRPr="00942D38">
        <w:rPr>
          <w:rFonts w:ascii="Segoe UI" w:hAnsi="Segoe UI" w:cs="Segoe UI"/>
          <w:i/>
          <w:iCs/>
          <w:sz w:val="18"/>
          <w:szCs w:val="18"/>
        </w:rPr>
        <w:t xml:space="preserve"> et al.</w:t>
      </w:r>
      <w:r w:rsidRPr="00942D38">
        <w:rPr>
          <w:rFonts w:ascii="Segoe UI" w:hAnsi="Segoe UI" w:cs="Segoe UI"/>
          <w:sz w:val="18"/>
          <w:szCs w:val="18"/>
        </w:rPr>
        <w:t xml:space="preserve"> (2016). Effectiveness of six improved </w:t>
      </w:r>
      <w:r w:rsidRPr="00942D38">
        <w:rPr>
          <w:rFonts w:ascii="Segoe UI" w:hAnsi="Segoe UI" w:cs="Segoe UI"/>
          <w:sz w:val="18"/>
          <w:szCs w:val="18"/>
        </w:rPr>
        <w:lastRenderedPageBreak/>
        <w:t xml:space="preserve">cookstoves in reducing household air pollution and their acceptability in rural Western Kenya. </w:t>
      </w:r>
      <w:proofErr w:type="spellStart"/>
      <w:r w:rsidRPr="00942D38">
        <w:rPr>
          <w:rFonts w:ascii="Segoe UI" w:hAnsi="Segoe UI" w:cs="Segoe UI"/>
          <w:i/>
          <w:iCs/>
          <w:sz w:val="18"/>
          <w:szCs w:val="18"/>
        </w:rPr>
        <w:t>PloS</w:t>
      </w:r>
      <w:proofErr w:type="spellEnd"/>
      <w:r w:rsidRPr="00942D38">
        <w:rPr>
          <w:rFonts w:ascii="Segoe UI" w:hAnsi="Segoe UI" w:cs="Segoe UI"/>
          <w:i/>
          <w:iCs/>
          <w:sz w:val="18"/>
          <w:szCs w:val="18"/>
        </w:rPr>
        <w:t xml:space="preserve"> one</w:t>
      </w:r>
      <w:r w:rsidRPr="00942D38">
        <w:rPr>
          <w:rFonts w:ascii="Segoe UI" w:hAnsi="Segoe UI" w:cs="Segoe UI"/>
          <w:sz w:val="18"/>
          <w:szCs w:val="18"/>
        </w:rPr>
        <w:t xml:space="preserve"> 11(11), e0165529. </w:t>
      </w:r>
      <w:hyperlink r:id="rId78" w:history="1">
        <w:r w:rsidRPr="007317E4">
          <w:rPr>
            <w:rStyle w:val="Hyperlink"/>
            <w:rFonts w:ascii="Segoe UI" w:hAnsi="Segoe UI" w:cs="Segoe UI"/>
            <w:sz w:val="18"/>
            <w:szCs w:val="18"/>
          </w:rPr>
          <w:t>https://doi.org/10.1371/journal.pone.0165529</w:t>
        </w:r>
      </w:hyperlink>
      <w:r w:rsidRPr="00942D38">
        <w:rPr>
          <w:rFonts w:ascii="Segoe UI" w:hAnsi="Segoe UI" w:cs="Segoe UI"/>
          <w:sz w:val="18"/>
          <w:szCs w:val="18"/>
        </w:rPr>
        <w:t>.</w:t>
      </w:r>
      <w:r>
        <w:rPr>
          <w:rFonts w:ascii="Segoe UI" w:hAnsi="Segoe UI" w:cs="Segoe UI"/>
          <w:sz w:val="18"/>
          <w:szCs w:val="18"/>
        </w:rPr>
        <w:t xml:space="preserve"> </w:t>
      </w:r>
    </w:p>
    <w:p w14:paraId="3D08D4B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6D511D4" w14:textId="6CD4120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Qadri</w:t>
      </w:r>
      <w:proofErr w:type="spellEnd"/>
      <w:r w:rsidRPr="00942D38">
        <w:rPr>
          <w:rFonts w:ascii="Segoe UI" w:hAnsi="Segoe UI" w:cs="Segoe UI"/>
          <w:sz w:val="18"/>
          <w:szCs w:val="18"/>
        </w:rPr>
        <w:t xml:space="preserve">, S.T. (ed.) (2001). </w:t>
      </w:r>
      <w:r w:rsidRPr="00942D38">
        <w:rPr>
          <w:rFonts w:ascii="Segoe UI" w:hAnsi="Segoe UI" w:cs="Segoe UI"/>
          <w:i/>
          <w:iCs/>
          <w:sz w:val="18"/>
          <w:szCs w:val="18"/>
        </w:rPr>
        <w:t>Fire, Smoke, and Haze: The ASEAN Response Strategy</w:t>
      </w:r>
      <w:r w:rsidRPr="00942D38">
        <w:rPr>
          <w:rFonts w:ascii="Segoe UI" w:hAnsi="Segoe UI" w:cs="Segoe UI"/>
          <w:sz w:val="18"/>
          <w:szCs w:val="18"/>
        </w:rPr>
        <w:t xml:space="preserve">. Manila: Asian Development Bank. </w:t>
      </w:r>
      <w:hyperlink r:id="rId79" w:history="1">
        <w:r w:rsidRPr="007317E4">
          <w:rPr>
            <w:rStyle w:val="Hyperlink"/>
            <w:rFonts w:ascii="Segoe UI" w:hAnsi="Segoe UI" w:cs="Segoe UI"/>
            <w:sz w:val="18"/>
            <w:szCs w:val="18"/>
          </w:rPr>
          <w:t>https://www.adb.org/sites/default/files/publication/28035/fire-smoke-haze.pdf</w:t>
        </w:r>
      </w:hyperlink>
      <w:r w:rsidRPr="00942D38">
        <w:rPr>
          <w:rFonts w:ascii="Segoe UI" w:hAnsi="Segoe UI" w:cs="Segoe UI"/>
          <w:sz w:val="18"/>
          <w:szCs w:val="18"/>
        </w:rPr>
        <w:t>.</w:t>
      </w:r>
      <w:r>
        <w:rPr>
          <w:rFonts w:ascii="Segoe UI" w:hAnsi="Segoe UI" w:cs="Segoe UI"/>
          <w:sz w:val="18"/>
          <w:szCs w:val="18"/>
        </w:rPr>
        <w:t xml:space="preserve"> </w:t>
      </w:r>
    </w:p>
    <w:p w14:paraId="07199EF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CF48FB1" w14:textId="13F32DF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Republic of Indonesia (2015). </w:t>
      </w:r>
      <w:r w:rsidRPr="00942D38">
        <w:rPr>
          <w:rFonts w:ascii="Segoe UI" w:hAnsi="Segoe UI" w:cs="Segoe UI"/>
          <w:i/>
          <w:iCs/>
          <w:sz w:val="18"/>
          <w:szCs w:val="18"/>
        </w:rPr>
        <w:t>Intended Nationally Determined Contribution: Republic of Indonesia.</w:t>
      </w:r>
      <w:r w:rsidRPr="00942D38">
        <w:rPr>
          <w:rFonts w:ascii="Segoe UI" w:hAnsi="Segoe UI" w:cs="Segoe UI"/>
          <w:sz w:val="18"/>
          <w:szCs w:val="18"/>
        </w:rPr>
        <w:t xml:space="preserve"> Jakarta. </w:t>
      </w:r>
      <w:hyperlink r:id="rId80" w:history="1">
        <w:r w:rsidRPr="007317E4">
          <w:rPr>
            <w:rStyle w:val="Hyperlink"/>
            <w:rFonts w:ascii="Segoe UI" w:hAnsi="Segoe UI" w:cs="Segoe UI"/>
            <w:sz w:val="18"/>
            <w:szCs w:val="18"/>
          </w:rPr>
          <w:t>http://www4.unfccc.int/Submissions/INDC/Published%20Documents/Indonesia/1/INDC_REPUBLIC%20OF%20INDONESIA.pdf</w:t>
        </w:r>
      </w:hyperlink>
      <w:r w:rsidRPr="00942D38">
        <w:rPr>
          <w:rFonts w:ascii="Segoe UI" w:hAnsi="Segoe UI" w:cs="Segoe UI"/>
          <w:sz w:val="18"/>
          <w:szCs w:val="18"/>
        </w:rPr>
        <w:t>.</w:t>
      </w:r>
      <w:r>
        <w:rPr>
          <w:rFonts w:ascii="Segoe UI" w:hAnsi="Segoe UI" w:cs="Segoe UI"/>
          <w:sz w:val="18"/>
          <w:szCs w:val="18"/>
        </w:rPr>
        <w:t xml:space="preserve"> </w:t>
      </w:r>
    </w:p>
    <w:p w14:paraId="4D39865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2E2A592" w14:textId="601F1798"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Semenza</w:t>
      </w:r>
      <w:proofErr w:type="spellEnd"/>
      <w:r w:rsidRPr="00942D38">
        <w:rPr>
          <w:rFonts w:ascii="Segoe UI" w:hAnsi="Segoe UI" w:cs="Segoe UI"/>
          <w:sz w:val="18"/>
          <w:szCs w:val="18"/>
        </w:rPr>
        <w:t xml:space="preserve">, J.C., Hall, D.E., Wilson, D.J., </w:t>
      </w:r>
      <w:proofErr w:type="spellStart"/>
      <w:r w:rsidRPr="00942D38">
        <w:rPr>
          <w:rFonts w:ascii="Segoe UI" w:hAnsi="Segoe UI" w:cs="Segoe UI"/>
          <w:sz w:val="18"/>
          <w:szCs w:val="18"/>
        </w:rPr>
        <w:t>Bontempo</w:t>
      </w:r>
      <w:proofErr w:type="spellEnd"/>
      <w:r w:rsidRPr="00942D38">
        <w:rPr>
          <w:rFonts w:ascii="Segoe UI" w:hAnsi="Segoe UI" w:cs="Segoe UI"/>
          <w:sz w:val="18"/>
          <w:szCs w:val="18"/>
        </w:rPr>
        <w:t xml:space="preserve">, B.D., Sailor, D.J. and George, L.A. (2008). Public perception of climate change. </w:t>
      </w:r>
      <w:r w:rsidRPr="00942D38">
        <w:rPr>
          <w:rFonts w:ascii="Segoe UI" w:hAnsi="Segoe UI" w:cs="Segoe UI"/>
          <w:i/>
          <w:iCs/>
          <w:sz w:val="18"/>
          <w:szCs w:val="18"/>
        </w:rPr>
        <w:t>American Journal of Preventive Medicine</w:t>
      </w:r>
      <w:r w:rsidRPr="00942D38">
        <w:rPr>
          <w:rFonts w:ascii="Segoe UI" w:hAnsi="Segoe UI" w:cs="Segoe UI"/>
          <w:sz w:val="18"/>
          <w:szCs w:val="18"/>
        </w:rPr>
        <w:t xml:space="preserve"> 35(5), 479-487. </w:t>
      </w:r>
      <w:hyperlink r:id="rId81" w:history="1">
        <w:r w:rsidRPr="007317E4">
          <w:rPr>
            <w:rStyle w:val="Hyperlink"/>
            <w:rFonts w:ascii="Segoe UI" w:hAnsi="Segoe UI" w:cs="Segoe UI"/>
            <w:sz w:val="18"/>
            <w:szCs w:val="18"/>
          </w:rPr>
          <w:t>https://doi.org/10.1016/j.amepre.2008.08.020</w:t>
        </w:r>
      </w:hyperlink>
      <w:r w:rsidRPr="00942D38">
        <w:rPr>
          <w:rFonts w:ascii="Segoe UI" w:hAnsi="Segoe UI" w:cs="Segoe UI"/>
          <w:sz w:val="18"/>
          <w:szCs w:val="18"/>
        </w:rPr>
        <w:t>.</w:t>
      </w:r>
      <w:r>
        <w:rPr>
          <w:rFonts w:ascii="Segoe UI" w:hAnsi="Segoe UI" w:cs="Segoe UI"/>
          <w:sz w:val="18"/>
          <w:szCs w:val="18"/>
        </w:rPr>
        <w:t xml:space="preserve"> </w:t>
      </w:r>
    </w:p>
    <w:p w14:paraId="3BF6AB3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112C994" w14:textId="6C3644A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roofErr w:type="spellStart"/>
      <w:r w:rsidRPr="00942D38">
        <w:rPr>
          <w:rFonts w:ascii="Segoe UI" w:hAnsi="Segoe UI" w:cs="Segoe UI"/>
          <w:sz w:val="18"/>
          <w:szCs w:val="18"/>
        </w:rPr>
        <w:t>Shaddick</w:t>
      </w:r>
      <w:proofErr w:type="spellEnd"/>
      <w:r w:rsidRPr="00942D38">
        <w:rPr>
          <w:rFonts w:ascii="Segoe UI" w:hAnsi="Segoe UI" w:cs="Segoe UI"/>
          <w:sz w:val="18"/>
          <w:szCs w:val="18"/>
        </w:rPr>
        <w:t xml:space="preserve">, G., Thomas, M.L., Green, A., </w:t>
      </w:r>
      <w:proofErr w:type="spellStart"/>
      <w:r w:rsidRPr="00942D38">
        <w:rPr>
          <w:rFonts w:ascii="Segoe UI" w:hAnsi="Segoe UI" w:cs="Segoe UI"/>
          <w:sz w:val="18"/>
          <w:szCs w:val="18"/>
        </w:rPr>
        <w:t>Brauer</w:t>
      </w:r>
      <w:proofErr w:type="spellEnd"/>
      <w:r w:rsidRPr="00942D38">
        <w:rPr>
          <w:rFonts w:ascii="Segoe UI" w:hAnsi="Segoe UI" w:cs="Segoe UI"/>
          <w:sz w:val="18"/>
          <w:szCs w:val="18"/>
        </w:rPr>
        <w:t xml:space="preserve">, M., </w:t>
      </w:r>
      <w:proofErr w:type="spellStart"/>
      <w:r w:rsidRPr="00942D38">
        <w:rPr>
          <w:rFonts w:ascii="Segoe UI" w:hAnsi="Segoe UI" w:cs="Segoe UI"/>
          <w:sz w:val="18"/>
          <w:szCs w:val="18"/>
        </w:rPr>
        <w:t>Donkelaar</w:t>
      </w:r>
      <w:proofErr w:type="spellEnd"/>
      <w:r w:rsidRPr="00942D38">
        <w:rPr>
          <w:rFonts w:ascii="Segoe UI" w:hAnsi="Segoe UI" w:cs="Segoe UI"/>
          <w:sz w:val="18"/>
          <w:szCs w:val="18"/>
        </w:rPr>
        <w:t>, A., Burnett, R.</w:t>
      </w:r>
      <w:r w:rsidRPr="00942D38">
        <w:rPr>
          <w:rFonts w:ascii="Segoe UI" w:hAnsi="Segoe UI" w:cs="Segoe UI"/>
          <w:i/>
          <w:iCs/>
          <w:sz w:val="18"/>
          <w:szCs w:val="18"/>
        </w:rPr>
        <w:t xml:space="preserve"> et al.</w:t>
      </w:r>
      <w:r w:rsidRPr="00942D38">
        <w:rPr>
          <w:rFonts w:ascii="Segoe UI" w:hAnsi="Segoe UI" w:cs="Segoe UI"/>
          <w:sz w:val="18"/>
          <w:szCs w:val="18"/>
        </w:rPr>
        <w:t xml:space="preserve"> (2018). Data integration model for air quality: A hierarchical approach to the global estimation of exposures to ambient air pollution. </w:t>
      </w:r>
      <w:r w:rsidRPr="00942D38">
        <w:rPr>
          <w:rFonts w:ascii="Segoe UI" w:hAnsi="Segoe UI" w:cs="Segoe UI"/>
          <w:i/>
          <w:iCs/>
          <w:sz w:val="18"/>
          <w:szCs w:val="18"/>
        </w:rPr>
        <w:t>Journal of the Royal Statistical Society</w:t>
      </w:r>
      <w:r w:rsidRPr="00942D38">
        <w:rPr>
          <w:rFonts w:ascii="Segoe UI" w:hAnsi="Segoe UI" w:cs="Segoe UI"/>
          <w:sz w:val="18"/>
          <w:szCs w:val="18"/>
        </w:rPr>
        <w:t xml:space="preserve"> 67(1), 231-253. </w:t>
      </w:r>
      <w:hyperlink r:id="rId82" w:history="1">
        <w:r w:rsidRPr="007317E4">
          <w:rPr>
            <w:rStyle w:val="Hyperlink"/>
            <w:rFonts w:ascii="Segoe UI" w:hAnsi="Segoe UI" w:cs="Segoe UI"/>
            <w:sz w:val="18"/>
            <w:szCs w:val="18"/>
          </w:rPr>
          <w:t>http://doi.org/10.1111/rssc.12227</w:t>
        </w:r>
      </w:hyperlink>
      <w:r w:rsidRPr="00942D38">
        <w:rPr>
          <w:rFonts w:ascii="Segoe UI" w:hAnsi="Segoe UI" w:cs="Segoe UI"/>
          <w:sz w:val="18"/>
          <w:szCs w:val="18"/>
        </w:rPr>
        <w:t>.</w:t>
      </w:r>
      <w:r>
        <w:rPr>
          <w:rFonts w:ascii="Segoe UI" w:hAnsi="Segoe UI" w:cs="Segoe UI"/>
          <w:sz w:val="18"/>
          <w:szCs w:val="18"/>
        </w:rPr>
        <w:t xml:space="preserve"> </w:t>
      </w:r>
    </w:p>
    <w:p w14:paraId="48CBE485"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10A8D2C" w14:textId="6B86606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Silk, B.J., </w:t>
      </w:r>
      <w:proofErr w:type="spellStart"/>
      <w:r w:rsidRPr="00942D38">
        <w:rPr>
          <w:rFonts w:ascii="Segoe UI" w:hAnsi="Segoe UI" w:cs="Segoe UI"/>
          <w:sz w:val="18"/>
          <w:szCs w:val="18"/>
        </w:rPr>
        <w:t>Sadumah</w:t>
      </w:r>
      <w:proofErr w:type="spellEnd"/>
      <w:r w:rsidRPr="00942D38">
        <w:rPr>
          <w:rFonts w:ascii="Segoe UI" w:hAnsi="Segoe UI" w:cs="Segoe UI"/>
          <w:sz w:val="18"/>
          <w:szCs w:val="18"/>
        </w:rPr>
        <w:t>, I., Patel, M.K., Were, V., Person, B., Harris, J.</w:t>
      </w:r>
      <w:r w:rsidRPr="00942D38">
        <w:rPr>
          <w:rFonts w:ascii="Segoe UI" w:hAnsi="Segoe UI" w:cs="Segoe UI"/>
          <w:i/>
          <w:iCs/>
          <w:sz w:val="18"/>
          <w:szCs w:val="18"/>
        </w:rPr>
        <w:t xml:space="preserve"> et al.</w:t>
      </w:r>
      <w:r w:rsidRPr="00942D38">
        <w:rPr>
          <w:rFonts w:ascii="Segoe UI" w:hAnsi="Segoe UI" w:cs="Segoe UI"/>
          <w:sz w:val="18"/>
          <w:szCs w:val="18"/>
        </w:rPr>
        <w:t xml:space="preserve"> (2012). A strategy to increase adoption of locally-produced, ceramic cookstoves in rural Kenyan households. </w:t>
      </w:r>
      <w:r w:rsidRPr="00942D38">
        <w:rPr>
          <w:rFonts w:ascii="Segoe UI" w:hAnsi="Segoe UI" w:cs="Segoe UI"/>
          <w:i/>
          <w:iCs/>
          <w:sz w:val="18"/>
          <w:szCs w:val="18"/>
        </w:rPr>
        <w:t>BMC Public Health</w:t>
      </w:r>
      <w:r w:rsidRPr="00942D38">
        <w:rPr>
          <w:rFonts w:ascii="Segoe UI" w:hAnsi="Segoe UI" w:cs="Segoe UI"/>
          <w:sz w:val="18"/>
          <w:szCs w:val="18"/>
        </w:rPr>
        <w:t xml:space="preserve"> 12(359), 1-10. </w:t>
      </w:r>
      <w:hyperlink r:id="rId83" w:history="1">
        <w:r w:rsidRPr="007317E4">
          <w:rPr>
            <w:rStyle w:val="Hyperlink"/>
            <w:rFonts w:ascii="Segoe UI" w:hAnsi="Segoe UI" w:cs="Segoe UI"/>
            <w:sz w:val="18"/>
            <w:szCs w:val="18"/>
          </w:rPr>
          <w:t>https://doi.org/10.1186/1471-2458-12-359</w:t>
        </w:r>
      </w:hyperlink>
      <w:r w:rsidRPr="00942D38">
        <w:rPr>
          <w:rFonts w:ascii="Segoe UI" w:hAnsi="Segoe UI" w:cs="Segoe UI"/>
          <w:sz w:val="18"/>
          <w:szCs w:val="18"/>
        </w:rPr>
        <w:t>.</w:t>
      </w:r>
      <w:r>
        <w:rPr>
          <w:rFonts w:ascii="Segoe UI" w:hAnsi="Segoe UI" w:cs="Segoe UI"/>
          <w:sz w:val="18"/>
          <w:szCs w:val="18"/>
        </w:rPr>
        <w:t xml:space="preserve"> </w:t>
      </w:r>
    </w:p>
    <w:p w14:paraId="1CD6A189"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0FFC25C" w14:textId="68BCA14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Stockwell, C.E., </w:t>
      </w:r>
      <w:proofErr w:type="spellStart"/>
      <w:r w:rsidRPr="00942D38">
        <w:rPr>
          <w:rFonts w:ascii="Segoe UI" w:hAnsi="Segoe UI" w:cs="Segoe UI"/>
          <w:sz w:val="18"/>
          <w:szCs w:val="18"/>
        </w:rPr>
        <w:t>Jayarathne</w:t>
      </w:r>
      <w:proofErr w:type="spellEnd"/>
      <w:r w:rsidRPr="00942D38">
        <w:rPr>
          <w:rFonts w:ascii="Segoe UI" w:hAnsi="Segoe UI" w:cs="Segoe UI"/>
          <w:sz w:val="18"/>
          <w:szCs w:val="18"/>
        </w:rPr>
        <w:t xml:space="preserve">, T., Cochrane, M.A., Ryan, K.C., Putra, E.I., </w:t>
      </w:r>
      <w:proofErr w:type="spellStart"/>
      <w:r w:rsidRPr="00942D38">
        <w:rPr>
          <w:rFonts w:ascii="Segoe UI" w:hAnsi="Segoe UI" w:cs="Segoe UI"/>
          <w:sz w:val="18"/>
          <w:szCs w:val="18"/>
        </w:rPr>
        <w:t>Saharjo</w:t>
      </w:r>
      <w:proofErr w:type="spellEnd"/>
      <w:r w:rsidRPr="00942D38">
        <w:rPr>
          <w:rFonts w:ascii="Segoe UI" w:hAnsi="Segoe UI" w:cs="Segoe UI"/>
          <w:sz w:val="18"/>
          <w:szCs w:val="18"/>
        </w:rPr>
        <w:t>, B.H.</w:t>
      </w:r>
      <w:r w:rsidRPr="00942D38">
        <w:rPr>
          <w:rFonts w:ascii="Segoe UI" w:hAnsi="Segoe UI" w:cs="Segoe UI"/>
          <w:i/>
          <w:iCs/>
          <w:sz w:val="18"/>
          <w:szCs w:val="18"/>
        </w:rPr>
        <w:t xml:space="preserve"> et al.</w:t>
      </w:r>
      <w:r w:rsidRPr="00942D38">
        <w:rPr>
          <w:rFonts w:ascii="Segoe UI" w:hAnsi="Segoe UI" w:cs="Segoe UI"/>
          <w:sz w:val="18"/>
          <w:szCs w:val="18"/>
        </w:rPr>
        <w:t xml:space="preserve"> (2016). Field measurements of trace gases and aerosols emitted by peat fires in central Kalimantan, Indonesia. </w:t>
      </w:r>
      <w:r w:rsidRPr="00942D38">
        <w:rPr>
          <w:rFonts w:ascii="Segoe UI" w:hAnsi="Segoe UI" w:cs="Segoe UI"/>
          <w:i/>
          <w:iCs/>
          <w:sz w:val="18"/>
          <w:szCs w:val="18"/>
        </w:rPr>
        <w:t>Atmospheric Chemistry and Physics</w:t>
      </w:r>
      <w:r w:rsidRPr="00942D38">
        <w:rPr>
          <w:rFonts w:ascii="Segoe UI" w:hAnsi="Segoe UI" w:cs="Segoe UI"/>
          <w:sz w:val="18"/>
          <w:szCs w:val="18"/>
        </w:rPr>
        <w:t xml:space="preserve"> 16, 11711-11732. </w:t>
      </w:r>
      <w:hyperlink r:id="rId84" w:history="1">
        <w:r w:rsidRPr="007317E4">
          <w:rPr>
            <w:rStyle w:val="Hyperlink"/>
            <w:rFonts w:ascii="Segoe UI" w:hAnsi="Segoe UI" w:cs="Segoe UI"/>
            <w:sz w:val="18"/>
            <w:szCs w:val="18"/>
          </w:rPr>
          <w:t>https://doi.org/10.5194/acp-16-11711-2016</w:t>
        </w:r>
      </w:hyperlink>
      <w:r w:rsidRPr="00942D38">
        <w:rPr>
          <w:rFonts w:ascii="Segoe UI" w:hAnsi="Segoe UI" w:cs="Segoe UI"/>
          <w:sz w:val="18"/>
          <w:szCs w:val="18"/>
        </w:rPr>
        <w:t>.</w:t>
      </w:r>
      <w:r>
        <w:rPr>
          <w:rFonts w:ascii="Segoe UI" w:hAnsi="Segoe UI" w:cs="Segoe UI"/>
          <w:sz w:val="18"/>
          <w:szCs w:val="18"/>
        </w:rPr>
        <w:t xml:space="preserve"> </w:t>
      </w:r>
    </w:p>
    <w:p w14:paraId="1ED0291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2C590A7" w14:textId="2E2620C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Sutton, M., Reis, S. and Baker, S. (eds.) (2009). </w:t>
      </w:r>
      <w:r w:rsidRPr="00942D38">
        <w:rPr>
          <w:rFonts w:ascii="Segoe UI" w:hAnsi="Segoe UI" w:cs="Segoe UI"/>
          <w:i/>
          <w:iCs/>
          <w:sz w:val="18"/>
          <w:szCs w:val="18"/>
        </w:rPr>
        <w:t>Atmospheric Ammonia: Detecting Emission Changes and Environmental Impacts. Results of an Expert Workshop Under the Convention on Long-Range Transboundary Air Pollution</w:t>
      </w:r>
      <w:r w:rsidRPr="00942D38">
        <w:rPr>
          <w:rFonts w:ascii="Segoe UI" w:hAnsi="Segoe UI" w:cs="Segoe UI"/>
          <w:sz w:val="18"/>
          <w:szCs w:val="18"/>
        </w:rPr>
        <w:t>. 1</w:t>
      </w:r>
      <w:r w:rsidRPr="00942D38">
        <w:rPr>
          <w:rFonts w:ascii="Segoe UI" w:hAnsi="Segoe UI" w:cs="Segoe UI"/>
          <w:sz w:val="18"/>
          <w:szCs w:val="18"/>
          <w:vertAlign w:val="superscript"/>
        </w:rPr>
        <w:t>st</w:t>
      </w:r>
      <w:r w:rsidRPr="00942D38">
        <w:rPr>
          <w:rFonts w:ascii="Segoe UI" w:hAnsi="Segoe UI" w:cs="Segoe UI"/>
          <w:sz w:val="18"/>
          <w:szCs w:val="18"/>
        </w:rPr>
        <w:t xml:space="preserve"> </w:t>
      </w:r>
      <w:proofErr w:type="spellStart"/>
      <w:r w:rsidRPr="00942D38">
        <w:rPr>
          <w:rFonts w:ascii="Segoe UI" w:hAnsi="Segoe UI" w:cs="Segoe UI"/>
          <w:sz w:val="18"/>
          <w:szCs w:val="18"/>
        </w:rPr>
        <w:t>edn</w:t>
      </w:r>
      <w:proofErr w:type="spellEnd"/>
      <w:r w:rsidRPr="00942D38">
        <w:rPr>
          <w:rFonts w:ascii="Segoe UI" w:hAnsi="Segoe UI" w:cs="Segoe UI"/>
          <w:sz w:val="18"/>
          <w:szCs w:val="18"/>
        </w:rPr>
        <w:t xml:space="preserve">: Springer. </w:t>
      </w:r>
      <w:hyperlink r:id="rId85" w:history="1">
        <w:r w:rsidRPr="007317E4">
          <w:rPr>
            <w:rStyle w:val="Hyperlink"/>
            <w:rFonts w:ascii="Segoe UI" w:hAnsi="Segoe UI" w:cs="Segoe UI"/>
            <w:sz w:val="18"/>
            <w:szCs w:val="18"/>
          </w:rPr>
          <w:t>https://www.springer.com/gp/book/9781402091209</w:t>
        </w:r>
      </w:hyperlink>
      <w:r w:rsidRPr="00942D38">
        <w:rPr>
          <w:rFonts w:ascii="Segoe UI" w:hAnsi="Segoe UI" w:cs="Segoe UI"/>
          <w:sz w:val="18"/>
          <w:szCs w:val="18"/>
        </w:rPr>
        <w:t>.</w:t>
      </w:r>
      <w:r>
        <w:rPr>
          <w:rFonts w:ascii="Segoe UI" w:hAnsi="Segoe UI" w:cs="Segoe UI"/>
          <w:sz w:val="18"/>
          <w:szCs w:val="18"/>
        </w:rPr>
        <w:t xml:space="preserve"> </w:t>
      </w:r>
    </w:p>
    <w:p w14:paraId="604B3813"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0B30FD6" w14:textId="213D1C88"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Thompson, J.E. (2016). Crowd-sourced air quality studies: A review of the literature &amp; portable sensors. </w:t>
      </w:r>
      <w:r w:rsidRPr="00942D38">
        <w:rPr>
          <w:rFonts w:ascii="Segoe UI" w:hAnsi="Segoe UI" w:cs="Segoe UI"/>
          <w:i/>
          <w:iCs/>
          <w:sz w:val="18"/>
          <w:szCs w:val="18"/>
        </w:rPr>
        <w:t>Trends in Environmental Analytical Chemistry</w:t>
      </w:r>
      <w:r w:rsidRPr="00942D38">
        <w:rPr>
          <w:rFonts w:ascii="Segoe UI" w:hAnsi="Segoe UI" w:cs="Segoe UI"/>
          <w:sz w:val="18"/>
          <w:szCs w:val="18"/>
        </w:rPr>
        <w:t xml:space="preserve"> 11, 23-34. </w:t>
      </w:r>
      <w:hyperlink r:id="rId86" w:history="1">
        <w:r w:rsidRPr="007317E4">
          <w:rPr>
            <w:rStyle w:val="Hyperlink"/>
            <w:rFonts w:ascii="Segoe UI" w:hAnsi="Segoe UI" w:cs="Segoe UI"/>
            <w:sz w:val="18"/>
            <w:szCs w:val="18"/>
          </w:rPr>
          <w:t>https://doi.org/10.1016/j.teac.2016.06.001</w:t>
        </w:r>
      </w:hyperlink>
      <w:r w:rsidRPr="00942D38">
        <w:rPr>
          <w:rFonts w:ascii="Segoe UI" w:hAnsi="Segoe UI" w:cs="Segoe UI"/>
          <w:sz w:val="18"/>
          <w:szCs w:val="18"/>
        </w:rPr>
        <w:t>.</w:t>
      </w:r>
      <w:r>
        <w:rPr>
          <w:rFonts w:ascii="Segoe UI" w:hAnsi="Segoe UI" w:cs="Segoe UI"/>
          <w:sz w:val="18"/>
          <w:szCs w:val="18"/>
        </w:rPr>
        <w:t xml:space="preserve"> </w:t>
      </w:r>
    </w:p>
    <w:p w14:paraId="307363E7"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5CC629E" w14:textId="53ACBCEA"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Kingdom, Department of Trade and Industry, (2007). </w:t>
      </w:r>
      <w:r w:rsidRPr="00942D38">
        <w:rPr>
          <w:rFonts w:ascii="Segoe UI" w:hAnsi="Segoe UI" w:cs="Segoe UI"/>
          <w:i/>
          <w:iCs/>
          <w:sz w:val="18"/>
          <w:szCs w:val="18"/>
        </w:rPr>
        <w:t>Meeting the Energy Challenge: A White Paper on Energy.</w:t>
      </w:r>
      <w:r w:rsidRPr="00942D38">
        <w:rPr>
          <w:rFonts w:ascii="Segoe UI" w:hAnsi="Segoe UI" w:cs="Segoe UI"/>
          <w:sz w:val="18"/>
          <w:szCs w:val="18"/>
        </w:rPr>
        <w:t xml:space="preserve"> London. </w:t>
      </w:r>
      <w:hyperlink r:id="rId87" w:history="1">
        <w:r w:rsidRPr="007317E4">
          <w:rPr>
            <w:rStyle w:val="Hyperlink"/>
            <w:rFonts w:ascii="Segoe UI" w:hAnsi="Segoe UI" w:cs="Segoe UI"/>
            <w:sz w:val="18"/>
            <w:szCs w:val="18"/>
          </w:rPr>
          <w:t>https://assets.publishing.service.gov.uk/government/uploads/system/uploads/attachment_data/file/243268/7124.pdf</w:t>
        </w:r>
      </w:hyperlink>
      <w:r w:rsidRPr="00942D38">
        <w:rPr>
          <w:rFonts w:ascii="Segoe UI" w:hAnsi="Segoe UI" w:cs="Segoe UI"/>
          <w:sz w:val="18"/>
          <w:szCs w:val="18"/>
        </w:rPr>
        <w:t>.</w:t>
      </w:r>
      <w:r>
        <w:rPr>
          <w:rFonts w:ascii="Segoe UI" w:hAnsi="Segoe UI" w:cs="Segoe UI"/>
          <w:sz w:val="18"/>
          <w:szCs w:val="18"/>
        </w:rPr>
        <w:t xml:space="preserve"> </w:t>
      </w:r>
    </w:p>
    <w:p w14:paraId="1CF02F1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454BBAE8" w14:textId="6607224B"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United Kingdom, Department for Business Energy &amp; Industrial Strategy, (2016). </w:t>
      </w:r>
      <w:r w:rsidRPr="00942D38">
        <w:rPr>
          <w:rFonts w:ascii="Segoe UI" w:eastAsia="MS Mincho" w:hAnsi="Segoe UI" w:cs="Segoe UI"/>
          <w:i/>
          <w:iCs/>
          <w:sz w:val="18"/>
          <w:szCs w:val="18"/>
          <w:lang w:val="en-US"/>
        </w:rPr>
        <w:t>Guidance: Carbon budgets</w:t>
      </w:r>
      <w:r w:rsidRPr="00942D38">
        <w:rPr>
          <w:rFonts w:ascii="Segoe UI" w:eastAsia="MS Mincho" w:hAnsi="Segoe UI" w:cs="Segoe UI"/>
          <w:sz w:val="18"/>
          <w:szCs w:val="18"/>
          <w:lang w:val="en-US"/>
        </w:rPr>
        <w:t xml:space="preserve">. </w:t>
      </w:r>
      <w:hyperlink r:id="rId88" w:history="1">
        <w:r w:rsidRPr="00942D38">
          <w:rPr>
            <w:rFonts w:ascii="Segoe UI" w:eastAsia="MS Mincho" w:hAnsi="Segoe UI" w:cs="Segoe UI"/>
            <w:sz w:val="18"/>
            <w:szCs w:val="18"/>
            <w:lang w:val="en-US"/>
          </w:rPr>
          <w:t>https://www.gov.uk/guidance/carbon-budgets</w:t>
        </w:r>
      </w:hyperlink>
      <w:r w:rsidRPr="00942D38">
        <w:rPr>
          <w:rFonts w:ascii="Segoe UI" w:eastAsia="MS Mincho" w:hAnsi="Segoe UI" w:cs="Segoe UI"/>
          <w:sz w:val="18"/>
          <w:szCs w:val="18"/>
          <w:lang w:val="en-US"/>
        </w:rPr>
        <w:t xml:space="preserve"> (Accessed: 4 November 2018).</w:t>
      </w:r>
    </w:p>
    <w:p w14:paraId="054E348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24427F4E" w14:textId="4A68A5E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Kingdom, Committee on Climate Change, (2017). </w:t>
      </w:r>
      <w:r w:rsidRPr="00942D38">
        <w:rPr>
          <w:rFonts w:ascii="Segoe UI" w:hAnsi="Segoe UI" w:cs="Segoe UI"/>
          <w:i/>
          <w:iCs/>
          <w:sz w:val="18"/>
          <w:szCs w:val="18"/>
        </w:rPr>
        <w:t>Meeting Carbon Budgets: Closing the Policy Gap. 2017 Report to Parliament.</w:t>
      </w:r>
      <w:r w:rsidRPr="00942D38">
        <w:rPr>
          <w:rFonts w:ascii="Segoe UI" w:hAnsi="Segoe UI" w:cs="Segoe UI"/>
          <w:sz w:val="18"/>
          <w:szCs w:val="18"/>
        </w:rPr>
        <w:t xml:space="preserve"> London. </w:t>
      </w:r>
      <w:hyperlink r:id="rId89" w:history="1">
        <w:r w:rsidRPr="007317E4">
          <w:rPr>
            <w:rStyle w:val="Hyperlink"/>
            <w:rFonts w:ascii="Segoe UI" w:hAnsi="Segoe UI" w:cs="Segoe UI"/>
            <w:sz w:val="18"/>
            <w:szCs w:val="18"/>
          </w:rPr>
          <w:t>https://www.theccc.org.uk/wp-content/uploads/2017/06/2017-Report-to-Parliament-Meeting-Carbon-Budgets-Closing-the-policy-gap.pdf</w:t>
        </w:r>
      </w:hyperlink>
      <w:r w:rsidRPr="00942D38">
        <w:rPr>
          <w:rFonts w:ascii="Segoe UI" w:hAnsi="Segoe UI" w:cs="Segoe UI"/>
          <w:sz w:val="18"/>
          <w:szCs w:val="18"/>
        </w:rPr>
        <w:t>.</w:t>
      </w:r>
      <w:r>
        <w:rPr>
          <w:rFonts w:ascii="Segoe UI" w:hAnsi="Segoe UI" w:cs="Segoe UI"/>
          <w:sz w:val="18"/>
          <w:szCs w:val="18"/>
        </w:rPr>
        <w:t xml:space="preserve"> </w:t>
      </w:r>
    </w:p>
    <w:p w14:paraId="261A9FC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66FE02B" w14:textId="3ABB861A"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United Kingdom, Department of Environment Food and Environmental Affairs, (2018). </w:t>
      </w:r>
      <w:r w:rsidRPr="00942D38">
        <w:rPr>
          <w:rFonts w:ascii="Segoe UI" w:eastAsia="MS Mincho" w:hAnsi="Segoe UI" w:cs="Segoe UI"/>
          <w:i/>
          <w:iCs/>
          <w:sz w:val="18"/>
          <w:szCs w:val="18"/>
          <w:lang w:val="en-US"/>
        </w:rPr>
        <w:t>Pollution forecast</w:t>
      </w:r>
      <w:r w:rsidRPr="00942D38">
        <w:rPr>
          <w:rFonts w:ascii="Segoe UI" w:eastAsia="MS Mincho" w:hAnsi="Segoe UI" w:cs="Segoe UI"/>
          <w:sz w:val="18"/>
          <w:szCs w:val="18"/>
          <w:lang w:val="en-US"/>
        </w:rPr>
        <w:t xml:space="preserve">. </w:t>
      </w:r>
      <w:hyperlink r:id="rId90" w:history="1">
        <w:r w:rsidRPr="00942D38">
          <w:rPr>
            <w:rFonts w:ascii="Segoe UI" w:eastAsia="MS Mincho" w:hAnsi="Segoe UI" w:cs="Segoe UI"/>
            <w:sz w:val="18"/>
            <w:szCs w:val="18"/>
            <w:lang w:val="en-US"/>
          </w:rPr>
          <w:t>https://uk-air.defra.gov.uk/forecasting/</w:t>
        </w:r>
      </w:hyperlink>
      <w:r w:rsidRPr="00942D38">
        <w:rPr>
          <w:rFonts w:ascii="Segoe UI" w:eastAsia="MS Mincho" w:hAnsi="Segoe UI" w:cs="Segoe UI"/>
          <w:sz w:val="18"/>
          <w:szCs w:val="18"/>
          <w:lang w:val="en-US"/>
        </w:rPr>
        <w:t xml:space="preserve"> (Accessed: 5 November 2018).</w:t>
      </w:r>
    </w:p>
    <w:p w14:paraId="6CF7B3C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5B8B12E" w14:textId="13CDE1E2"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Kingdom Government (2008a). </w:t>
      </w:r>
      <w:r w:rsidRPr="00942D38">
        <w:rPr>
          <w:rFonts w:ascii="Segoe UI" w:hAnsi="Segoe UI" w:cs="Segoe UI"/>
          <w:i/>
          <w:iCs/>
          <w:sz w:val="18"/>
          <w:szCs w:val="18"/>
        </w:rPr>
        <w:t>Carbon Plan.</w:t>
      </w:r>
      <w:r w:rsidRPr="00942D38">
        <w:rPr>
          <w:rFonts w:ascii="Segoe UI" w:hAnsi="Segoe UI" w:cs="Segoe UI"/>
          <w:sz w:val="18"/>
          <w:szCs w:val="18"/>
        </w:rPr>
        <w:t xml:space="preserve"> London. </w:t>
      </w:r>
      <w:hyperlink r:id="rId91" w:history="1">
        <w:r w:rsidRPr="007317E4">
          <w:rPr>
            <w:rStyle w:val="Hyperlink"/>
            <w:rFonts w:ascii="Segoe UI" w:hAnsi="Segoe UI" w:cs="Segoe UI"/>
            <w:sz w:val="18"/>
            <w:szCs w:val="18"/>
          </w:rPr>
          <w:t>https://www.gov.uk/government/uploads/system/uploads/attachment_data/file/47621/1358-the-carbon-plan.pdf</w:t>
        </w:r>
      </w:hyperlink>
      <w:r w:rsidRPr="00942D38">
        <w:rPr>
          <w:rFonts w:ascii="Segoe UI" w:hAnsi="Segoe UI" w:cs="Segoe UI"/>
          <w:sz w:val="18"/>
          <w:szCs w:val="18"/>
        </w:rPr>
        <w:t>.</w:t>
      </w:r>
      <w:r>
        <w:rPr>
          <w:rFonts w:ascii="Segoe UI" w:hAnsi="Segoe UI" w:cs="Segoe UI"/>
          <w:sz w:val="18"/>
          <w:szCs w:val="18"/>
        </w:rPr>
        <w:t xml:space="preserve"> </w:t>
      </w:r>
    </w:p>
    <w:p w14:paraId="4972347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D536B5C" w14:textId="67F9A79B"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Kingdom Government (2008b). Climate Change Act 2008. 108 1 </w:t>
      </w:r>
      <w:hyperlink r:id="rId92" w:history="1">
        <w:r w:rsidRPr="007317E4">
          <w:rPr>
            <w:rStyle w:val="Hyperlink"/>
            <w:rFonts w:ascii="Segoe UI" w:hAnsi="Segoe UI" w:cs="Segoe UI"/>
            <w:sz w:val="18"/>
            <w:szCs w:val="18"/>
          </w:rPr>
          <w:t>http://www.legislation.gov.uk/ukpga/2008/27/pdfs/ukpga_20080027_en.pdf</w:t>
        </w:r>
      </w:hyperlink>
      <w:r>
        <w:rPr>
          <w:rFonts w:ascii="Segoe UI" w:hAnsi="Segoe UI" w:cs="Segoe UI"/>
          <w:sz w:val="18"/>
          <w:szCs w:val="18"/>
        </w:rPr>
        <w:t xml:space="preserve"> </w:t>
      </w:r>
    </w:p>
    <w:p w14:paraId="444A6FC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76AE15F4" w14:textId="4714765A"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United Nations (2015). </w:t>
      </w:r>
      <w:r w:rsidRPr="00942D38">
        <w:rPr>
          <w:rFonts w:ascii="Segoe UI" w:eastAsia="MS Mincho" w:hAnsi="Segoe UI" w:cs="Segoe UI"/>
          <w:i/>
          <w:iCs/>
          <w:sz w:val="18"/>
          <w:szCs w:val="18"/>
          <w:lang w:val="en-US"/>
        </w:rPr>
        <w:t>Sustainable development goals: 17 goals to transform our world</w:t>
      </w:r>
      <w:r w:rsidRPr="00942D38">
        <w:rPr>
          <w:rFonts w:ascii="Segoe UI" w:eastAsia="MS Mincho" w:hAnsi="Segoe UI" w:cs="Segoe UI"/>
          <w:sz w:val="18"/>
          <w:szCs w:val="18"/>
          <w:lang w:val="en-US"/>
        </w:rPr>
        <w:t xml:space="preserve">. </w:t>
      </w:r>
      <w:hyperlink r:id="rId93" w:history="1">
        <w:r w:rsidRPr="00942D38">
          <w:rPr>
            <w:rFonts w:ascii="Segoe UI" w:eastAsia="MS Mincho" w:hAnsi="Segoe UI" w:cs="Segoe UI"/>
            <w:sz w:val="18"/>
            <w:szCs w:val="18"/>
            <w:lang w:val="en-US"/>
          </w:rPr>
          <w:t>https://www.un.org/sustainabledevelopment/home/</w:t>
        </w:r>
      </w:hyperlink>
      <w:r w:rsidRPr="00942D38">
        <w:rPr>
          <w:rFonts w:ascii="Segoe UI" w:eastAsia="MS Mincho" w:hAnsi="Segoe UI" w:cs="Segoe UI"/>
          <w:sz w:val="18"/>
          <w:szCs w:val="18"/>
          <w:lang w:val="en-US"/>
        </w:rPr>
        <w:t xml:space="preserve"> (Accessed: 4 November 2018).</w:t>
      </w:r>
    </w:p>
    <w:p w14:paraId="0F8D1F7D"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3FDBCFA" w14:textId="770D2B8A" w:rsidR="00942D38" w:rsidRPr="00942D38" w:rsidRDefault="00942D38" w:rsidP="00942D38">
      <w:pPr>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lastRenderedPageBreak/>
        <w:t xml:space="preserve">United Nations Economic Commission for Europe (2018). </w:t>
      </w:r>
      <w:r w:rsidRPr="00942D38">
        <w:rPr>
          <w:rFonts w:ascii="Segoe UI" w:eastAsia="MS Mincho" w:hAnsi="Segoe UI" w:cs="Segoe UI"/>
          <w:i/>
          <w:iCs/>
          <w:sz w:val="18"/>
          <w:szCs w:val="18"/>
          <w:lang w:val="en-US"/>
        </w:rPr>
        <w:t>Gothenburg protocol: Guidance documents and other methodological materials for the implementation of the 1999 protocol to abate acidification, eutrophication and ground-level ozone</w:t>
      </w:r>
      <w:r w:rsidRPr="00942D38">
        <w:rPr>
          <w:rFonts w:ascii="Segoe UI" w:eastAsia="MS Mincho" w:hAnsi="Segoe UI" w:cs="Segoe UI"/>
          <w:sz w:val="18"/>
          <w:szCs w:val="18"/>
          <w:lang w:val="en-US"/>
        </w:rPr>
        <w:t xml:space="preserve">. </w:t>
      </w:r>
      <w:hyperlink r:id="rId94" w:history="1">
        <w:r w:rsidRPr="00942D38">
          <w:rPr>
            <w:rFonts w:ascii="Segoe UI" w:eastAsia="MS Mincho" w:hAnsi="Segoe UI" w:cs="Segoe UI"/>
            <w:sz w:val="18"/>
            <w:szCs w:val="18"/>
            <w:lang w:val="en-US"/>
          </w:rPr>
          <w:t>http://www.unece.org/environmental-policy/conventions/envlrtapwelcome/guidance-documents-and-other-methodological-materials/gothenburg-protocol.html</w:t>
        </w:r>
      </w:hyperlink>
      <w:r w:rsidRPr="00942D38">
        <w:rPr>
          <w:rFonts w:ascii="Segoe UI" w:eastAsia="MS Mincho" w:hAnsi="Segoe UI" w:cs="Segoe UI"/>
          <w:sz w:val="18"/>
          <w:szCs w:val="18"/>
          <w:lang w:val="en-US"/>
        </w:rPr>
        <w:t xml:space="preserve"> (Accessed: 4 November 2018).</w:t>
      </w:r>
    </w:p>
    <w:p w14:paraId="28479000"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C6C06E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7526B0B" w14:textId="3010669D"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Nations Environment Programme (2010). </w:t>
      </w:r>
      <w:r w:rsidRPr="00942D38">
        <w:rPr>
          <w:rFonts w:ascii="Segoe UI" w:hAnsi="Segoe UI" w:cs="Segoe UI"/>
          <w:i/>
          <w:iCs/>
          <w:sz w:val="18"/>
          <w:szCs w:val="18"/>
        </w:rPr>
        <w:t>Air Pollution: Promoting Regional Cooperation.</w:t>
      </w:r>
      <w:r w:rsidRPr="00942D38">
        <w:rPr>
          <w:rFonts w:ascii="Segoe UI" w:hAnsi="Segoe UI" w:cs="Segoe UI"/>
          <w:sz w:val="18"/>
          <w:szCs w:val="18"/>
        </w:rPr>
        <w:t xml:space="preserve"> Nairobi. </w:t>
      </w:r>
      <w:hyperlink r:id="rId95" w:history="1">
        <w:r w:rsidRPr="007317E4">
          <w:rPr>
            <w:rStyle w:val="Hyperlink"/>
            <w:rFonts w:ascii="Segoe UI" w:hAnsi="Segoe UI" w:cs="Segoe UI"/>
            <w:sz w:val="18"/>
            <w:szCs w:val="18"/>
          </w:rPr>
          <w:t>http://www.rrcap.ait.asia/Publications/Air_pollution_book.pdf</w:t>
        </w:r>
      </w:hyperlink>
      <w:r w:rsidRPr="00942D38">
        <w:rPr>
          <w:rFonts w:ascii="Segoe UI" w:hAnsi="Segoe UI" w:cs="Segoe UI"/>
          <w:sz w:val="18"/>
          <w:szCs w:val="18"/>
        </w:rPr>
        <w:t>.</w:t>
      </w:r>
      <w:r>
        <w:rPr>
          <w:rFonts w:ascii="Segoe UI" w:hAnsi="Segoe UI" w:cs="Segoe UI"/>
          <w:sz w:val="18"/>
          <w:szCs w:val="18"/>
        </w:rPr>
        <w:t xml:space="preserve"> </w:t>
      </w:r>
    </w:p>
    <w:p w14:paraId="6FE160A1"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34450650" w14:textId="15915E0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Nations Environment Programme (2017). </w:t>
      </w:r>
      <w:r w:rsidRPr="00942D38">
        <w:rPr>
          <w:rFonts w:ascii="Segoe UI" w:hAnsi="Segoe UI" w:cs="Segoe UI"/>
          <w:i/>
          <w:iCs/>
          <w:sz w:val="18"/>
          <w:szCs w:val="18"/>
        </w:rPr>
        <w:t>Ozone-Depleting Substance Consumption: Country Data</w:t>
      </w:r>
      <w:r w:rsidRPr="00942D38">
        <w:rPr>
          <w:rFonts w:ascii="Segoe UI" w:hAnsi="Segoe UI" w:cs="Segoe UI"/>
          <w:sz w:val="18"/>
          <w:szCs w:val="18"/>
        </w:rPr>
        <w:t xml:space="preserve">. Ozone Secretariat, Nairobi. </w:t>
      </w:r>
      <w:hyperlink r:id="rId96" w:history="1">
        <w:r w:rsidRPr="007317E4">
          <w:rPr>
            <w:rStyle w:val="Hyperlink"/>
            <w:rFonts w:ascii="Segoe UI" w:hAnsi="Segoe UI" w:cs="Segoe UI"/>
            <w:sz w:val="18"/>
            <w:szCs w:val="18"/>
          </w:rPr>
          <w:t>http://ozone.unep.org/countries/data</w:t>
        </w:r>
      </w:hyperlink>
      <w:r>
        <w:rPr>
          <w:rFonts w:ascii="Segoe UI" w:hAnsi="Segoe UI" w:cs="Segoe UI"/>
          <w:sz w:val="18"/>
          <w:szCs w:val="18"/>
        </w:rPr>
        <w:t xml:space="preserve"> </w:t>
      </w:r>
      <w:r w:rsidRPr="00942D38">
        <w:rPr>
          <w:rFonts w:ascii="Segoe UI" w:hAnsi="Segoe UI" w:cs="Segoe UI"/>
          <w:sz w:val="18"/>
          <w:szCs w:val="18"/>
        </w:rPr>
        <w:t xml:space="preserve"> </w:t>
      </w:r>
      <w:r>
        <w:rPr>
          <w:rFonts w:ascii="Segoe UI" w:hAnsi="Segoe UI" w:cs="Segoe UI"/>
          <w:sz w:val="18"/>
          <w:szCs w:val="18"/>
        </w:rPr>
        <w:t xml:space="preserve"> </w:t>
      </w:r>
    </w:p>
    <w:p w14:paraId="570FEE6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93A8A64" w14:textId="4F4C4CF6"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United Nations Framework Convention on Climate Change (2017a). </w:t>
      </w:r>
      <w:r w:rsidRPr="00942D38">
        <w:rPr>
          <w:rFonts w:ascii="Segoe UI" w:eastAsia="MS Mincho" w:hAnsi="Segoe UI" w:cs="Segoe UI"/>
          <w:i/>
          <w:iCs/>
          <w:sz w:val="18"/>
          <w:szCs w:val="18"/>
          <w:lang w:val="en-US"/>
        </w:rPr>
        <w:t>China to launch world’s largest emissions trading system</w:t>
      </w:r>
      <w:r w:rsidRPr="00942D38">
        <w:rPr>
          <w:rFonts w:ascii="Segoe UI" w:eastAsia="MS Mincho" w:hAnsi="Segoe UI" w:cs="Segoe UI"/>
          <w:sz w:val="18"/>
          <w:szCs w:val="18"/>
          <w:lang w:val="en-US"/>
        </w:rPr>
        <w:t xml:space="preserve">. </w:t>
      </w:r>
      <w:hyperlink r:id="rId97" w:history="1">
        <w:r w:rsidRPr="00942D38">
          <w:rPr>
            <w:rFonts w:ascii="Segoe UI" w:eastAsia="MS Mincho" w:hAnsi="Segoe UI" w:cs="Segoe UI"/>
            <w:sz w:val="18"/>
            <w:szCs w:val="18"/>
            <w:lang w:val="en-US"/>
          </w:rPr>
          <w:t>https://unfccc.int/news/china-to-launch-world-s-largest-emissions-trading-system</w:t>
        </w:r>
      </w:hyperlink>
      <w:r w:rsidRPr="00942D38">
        <w:rPr>
          <w:rFonts w:ascii="Segoe UI" w:eastAsia="MS Mincho" w:hAnsi="Segoe UI" w:cs="Segoe UI"/>
          <w:sz w:val="18"/>
          <w:szCs w:val="18"/>
          <w:lang w:val="en-US"/>
        </w:rPr>
        <w:t xml:space="preserve"> (Accessed: 10 October.</w:t>
      </w:r>
    </w:p>
    <w:p w14:paraId="75DBDA0B"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E48CF49" w14:textId="3D314EB6" w:rsidR="00942D38" w:rsidRPr="00942D38" w:rsidRDefault="00942D38" w:rsidP="00942D38">
      <w:pPr>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United Nations Framework Convention on Climate Change (2017b). </w:t>
      </w:r>
      <w:r w:rsidRPr="00942D38">
        <w:rPr>
          <w:rFonts w:ascii="Segoe UI" w:eastAsia="MS Mincho" w:hAnsi="Segoe UI" w:cs="Segoe UI"/>
          <w:i/>
          <w:iCs/>
          <w:sz w:val="18"/>
          <w:szCs w:val="18"/>
          <w:lang w:val="en-US"/>
        </w:rPr>
        <w:t>GHG data from UNFCCC</w:t>
      </w:r>
      <w:r w:rsidRPr="00942D38">
        <w:rPr>
          <w:rFonts w:ascii="Segoe UI" w:eastAsia="MS Mincho" w:hAnsi="Segoe UI" w:cs="Segoe UI"/>
          <w:sz w:val="18"/>
          <w:szCs w:val="18"/>
          <w:lang w:val="en-US"/>
        </w:rPr>
        <w:t xml:space="preserve">. </w:t>
      </w:r>
      <w:hyperlink r:id="rId98" w:history="1">
        <w:r w:rsidRPr="00942D38">
          <w:rPr>
            <w:rFonts w:ascii="Segoe UI" w:eastAsia="MS Mincho" w:hAnsi="Segoe UI" w:cs="Segoe UI"/>
            <w:sz w:val="18"/>
            <w:szCs w:val="18"/>
            <w:lang w:val="en-US"/>
          </w:rPr>
          <w:t>https://unfccc.int/process/transparency-and-reporting/greenhouse-gas-data/ghg-data-unfccc</w:t>
        </w:r>
      </w:hyperlink>
      <w:r w:rsidRPr="00942D38">
        <w:rPr>
          <w:rFonts w:ascii="Segoe UI" w:eastAsia="MS Mincho" w:hAnsi="Segoe UI" w:cs="Segoe UI"/>
          <w:sz w:val="18"/>
          <w:szCs w:val="18"/>
          <w:lang w:val="en-US"/>
        </w:rPr>
        <w:t xml:space="preserve"> (Accessed: 4 November 2018).</w:t>
      </w:r>
    </w:p>
    <w:p w14:paraId="1A44DD97"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EF5BAED" w14:textId="0299E58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States Agency for International Development and </w:t>
      </w:r>
      <w:proofErr w:type="spellStart"/>
      <w:r w:rsidRPr="00942D38">
        <w:rPr>
          <w:rFonts w:ascii="Segoe UI" w:hAnsi="Segoe UI" w:cs="Segoe UI"/>
          <w:sz w:val="18"/>
          <w:szCs w:val="18"/>
        </w:rPr>
        <w:t>Winrock</w:t>
      </w:r>
      <w:proofErr w:type="spellEnd"/>
      <w:r w:rsidRPr="00942D38">
        <w:rPr>
          <w:rFonts w:ascii="Segoe UI" w:hAnsi="Segoe UI" w:cs="Segoe UI"/>
          <w:sz w:val="18"/>
          <w:szCs w:val="18"/>
        </w:rPr>
        <w:t xml:space="preserve"> International (2011). </w:t>
      </w:r>
      <w:r w:rsidRPr="00942D38">
        <w:rPr>
          <w:rFonts w:ascii="Segoe UI" w:hAnsi="Segoe UI" w:cs="Segoe UI"/>
          <w:i/>
          <w:iCs/>
          <w:sz w:val="18"/>
          <w:szCs w:val="18"/>
        </w:rPr>
        <w:t>Clean and Efficient Cooking Technologies and Fuels: The Fuel-Efficient Cookstoves and Clean Fuels Sector is Evolving Rapidly, Enabling Cross-Cutting Solutions that can Achieve Greater Development Impacts.</w:t>
      </w:r>
      <w:r w:rsidRPr="00942D38">
        <w:rPr>
          <w:rFonts w:ascii="Segoe UI" w:hAnsi="Segoe UI" w:cs="Segoe UI"/>
          <w:sz w:val="18"/>
          <w:szCs w:val="18"/>
        </w:rPr>
        <w:t xml:space="preserve"> United States Agency for International Development and </w:t>
      </w:r>
      <w:proofErr w:type="spellStart"/>
      <w:r w:rsidRPr="00942D38">
        <w:rPr>
          <w:rFonts w:ascii="Segoe UI" w:hAnsi="Segoe UI" w:cs="Segoe UI"/>
          <w:sz w:val="18"/>
          <w:szCs w:val="18"/>
        </w:rPr>
        <w:t>Winrock</w:t>
      </w:r>
      <w:proofErr w:type="spellEnd"/>
      <w:r w:rsidRPr="00942D38">
        <w:rPr>
          <w:rFonts w:ascii="Segoe UI" w:hAnsi="Segoe UI" w:cs="Segoe UI"/>
          <w:sz w:val="18"/>
          <w:szCs w:val="18"/>
        </w:rPr>
        <w:t xml:space="preserve"> International. </w:t>
      </w:r>
      <w:hyperlink r:id="rId99" w:history="1">
        <w:r w:rsidRPr="007317E4">
          <w:rPr>
            <w:rStyle w:val="Hyperlink"/>
            <w:rFonts w:ascii="Segoe UI" w:hAnsi="Segoe UI" w:cs="Segoe UI"/>
            <w:sz w:val="18"/>
            <w:szCs w:val="18"/>
          </w:rPr>
          <w:t>https://www.winrock.org/wp-content/uploads/2017/09/Winrock_Cookstove_final_reduced.pdf</w:t>
        </w:r>
      </w:hyperlink>
      <w:r w:rsidRPr="00942D38">
        <w:rPr>
          <w:rFonts w:ascii="Segoe UI" w:hAnsi="Segoe UI" w:cs="Segoe UI"/>
          <w:sz w:val="18"/>
          <w:szCs w:val="18"/>
        </w:rPr>
        <w:t>.</w:t>
      </w:r>
      <w:r>
        <w:rPr>
          <w:rFonts w:ascii="Segoe UI" w:hAnsi="Segoe UI" w:cs="Segoe UI"/>
          <w:sz w:val="18"/>
          <w:szCs w:val="18"/>
        </w:rPr>
        <w:t xml:space="preserve"> </w:t>
      </w:r>
    </w:p>
    <w:p w14:paraId="14110478"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BE5386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States Environmental Protection Agency (2016). </w:t>
      </w:r>
      <w:r w:rsidRPr="00942D38">
        <w:rPr>
          <w:rFonts w:ascii="Segoe UI" w:hAnsi="Segoe UI" w:cs="Segoe UI"/>
          <w:i/>
          <w:iCs/>
          <w:sz w:val="18"/>
          <w:szCs w:val="18"/>
        </w:rPr>
        <w:t>NAAQS table</w:t>
      </w:r>
      <w:r w:rsidRPr="00942D38">
        <w:rPr>
          <w:rFonts w:ascii="Segoe UI" w:hAnsi="Segoe UI" w:cs="Segoe UI"/>
          <w:sz w:val="18"/>
          <w:szCs w:val="18"/>
        </w:rPr>
        <w:t>. [https://www.epa.gov/criteria-air-pollutants/naaqs-table (Accessed: 10 October 2018).</w:t>
      </w:r>
    </w:p>
    <w:p w14:paraId="53B2765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07342ED" w14:textId="11508621"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United States Environmental Protection Agency (2017). </w:t>
      </w:r>
      <w:r w:rsidRPr="00942D38">
        <w:rPr>
          <w:rFonts w:ascii="Segoe UI" w:hAnsi="Segoe UI" w:cs="Segoe UI"/>
          <w:i/>
          <w:iCs/>
          <w:sz w:val="18"/>
          <w:szCs w:val="18"/>
        </w:rPr>
        <w:t>RACT/BACT/LAER clearinghouse (RBLC)</w:t>
      </w:r>
      <w:r w:rsidRPr="00942D38">
        <w:rPr>
          <w:rFonts w:ascii="Segoe UI" w:hAnsi="Segoe UI" w:cs="Segoe UI"/>
          <w:sz w:val="18"/>
          <w:szCs w:val="18"/>
        </w:rPr>
        <w:t>. [https://cfpub.epa.gov/RBLC/</w:t>
      </w:r>
      <w:r>
        <w:rPr>
          <w:rFonts w:ascii="Segoe UI" w:hAnsi="Segoe UI" w:cs="Segoe UI"/>
          <w:sz w:val="18"/>
          <w:szCs w:val="18"/>
        </w:rPr>
        <w:t xml:space="preserve"> </w:t>
      </w:r>
      <w:r w:rsidRPr="00942D38">
        <w:rPr>
          <w:rFonts w:ascii="Segoe UI" w:hAnsi="Segoe UI" w:cs="Segoe UI"/>
          <w:sz w:val="18"/>
          <w:szCs w:val="18"/>
        </w:rPr>
        <w:t>(Accessed: 10 October 2018).</w:t>
      </w:r>
    </w:p>
    <w:p w14:paraId="60DB249C"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2185C73" w14:textId="2D9CF05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Velasco, E. and </w:t>
      </w:r>
      <w:proofErr w:type="spellStart"/>
      <w:r w:rsidRPr="00942D38">
        <w:rPr>
          <w:rFonts w:ascii="Segoe UI" w:hAnsi="Segoe UI" w:cs="Segoe UI"/>
          <w:sz w:val="18"/>
          <w:szCs w:val="18"/>
        </w:rPr>
        <w:t>Rastan</w:t>
      </w:r>
      <w:proofErr w:type="spellEnd"/>
      <w:r w:rsidRPr="00942D38">
        <w:rPr>
          <w:rFonts w:ascii="Segoe UI" w:hAnsi="Segoe UI" w:cs="Segoe UI"/>
          <w:sz w:val="18"/>
          <w:szCs w:val="18"/>
        </w:rPr>
        <w:t xml:space="preserve">, S. (2015). Air quality in Singapore during the 2013 smoke-haze episode over the strait of Malacca: Lessons learned </w:t>
      </w:r>
      <w:r w:rsidRPr="00942D38">
        <w:rPr>
          <w:rFonts w:ascii="Segoe UI" w:hAnsi="Segoe UI" w:cs="Segoe UI"/>
          <w:i/>
          <w:iCs/>
          <w:sz w:val="18"/>
          <w:szCs w:val="18"/>
        </w:rPr>
        <w:t>Sustainable Cities and Society</w:t>
      </w:r>
      <w:r w:rsidRPr="00942D38">
        <w:rPr>
          <w:rFonts w:ascii="Segoe UI" w:hAnsi="Segoe UI" w:cs="Segoe UI"/>
          <w:sz w:val="18"/>
          <w:szCs w:val="18"/>
        </w:rPr>
        <w:t xml:space="preserve"> 17, 122-131. </w:t>
      </w:r>
      <w:hyperlink r:id="rId100" w:history="1">
        <w:r w:rsidRPr="007317E4">
          <w:rPr>
            <w:rStyle w:val="Hyperlink"/>
            <w:rFonts w:ascii="Segoe UI" w:hAnsi="Segoe UI" w:cs="Segoe UI"/>
            <w:sz w:val="18"/>
            <w:szCs w:val="18"/>
          </w:rPr>
          <w:t>https://doi.org/10.1016/j.scs.2015.04.006</w:t>
        </w:r>
      </w:hyperlink>
      <w:r w:rsidRPr="00942D38">
        <w:rPr>
          <w:rFonts w:ascii="Segoe UI" w:hAnsi="Segoe UI" w:cs="Segoe UI"/>
          <w:sz w:val="18"/>
          <w:szCs w:val="18"/>
        </w:rPr>
        <w:t>.</w:t>
      </w:r>
      <w:r>
        <w:rPr>
          <w:rFonts w:ascii="Segoe UI" w:hAnsi="Segoe UI" w:cs="Segoe UI"/>
          <w:sz w:val="18"/>
          <w:szCs w:val="18"/>
        </w:rPr>
        <w:t xml:space="preserve"> </w:t>
      </w:r>
    </w:p>
    <w:p w14:paraId="0B9F7CAD"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07EA49C" w14:textId="49DB4AFF"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World Bank (2016). </w:t>
      </w:r>
      <w:r w:rsidRPr="00942D38">
        <w:rPr>
          <w:rFonts w:ascii="Segoe UI" w:hAnsi="Segoe UI" w:cs="Segoe UI"/>
          <w:i/>
          <w:iCs/>
          <w:sz w:val="18"/>
          <w:szCs w:val="18"/>
        </w:rPr>
        <w:t>The Cost of Fire: An Economic Analysis of Indonesia’s 2015 Fire Crisis.</w:t>
      </w:r>
      <w:r w:rsidRPr="00942D38">
        <w:rPr>
          <w:rFonts w:ascii="Segoe UI" w:hAnsi="Segoe UI" w:cs="Segoe UI"/>
          <w:sz w:val="18"/>
          <w:szCs w:val="18"/>
        </w:rPr>
        <w:t xml:space="preserve"> Washington, D.C. </w:t>
      </w:r>
      <w:hyperlink r:id="rId101" w:history="1">
        <w:r w:rsidRPr="007317E4">
          <w:rPr>
            <w:rStyle w:val="Hyperlink"/>
            <w:rFonts w:ascii="Segoe UI" w:hAnsi="Segoe UI" w:cs="Segoe UI"/>
            <w:sz w:val="18"/>
            <w:szCs w:val="18"/>
          </w:rPr>
          <w:t>http://documents.worldbank.org/curated/en/776101467990969768/pdf/103668-BRI-Cost-of-Fires-Knowledge-Note-PUBLIC-ADD-NEW-SERIES-Indonesia-Sustainable-Landscapes-Knowledge-Note.pdf</w:t>
        </w:r>
      </w:hyperlink>
      <w:r w:rsidRPr="00942D38">
        <w:rPr>
          <w:rFonts w:ascii="Segoe UI" w:hAnsi="Segoe UI" w:cs="Segoe UI"/>
          <w:sz w:val="18"/>
          <w:szCs w:val="18"/>
        </w:rPr>
        <w:t>.</w:t>
      </w:r>
      <w:r>
        <w:rPr>
          <w:rFonts w:ascii="Segoe UI" w:hAnsi="Segoe UI" w:cs="Segoe UI"/>
          <w:sz w:val="18"/>
          <w:szCs w:val="18"/>
        </w:rPr>
        <w:t xml:space="preserve"> </w:t>
      </w:r>
    </w:p>
    <w:p w14:paraId="157DAB2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111B864F" w14:textId="186748A9"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World Health Organization (2016). </w:t>
      </w:r>
      <w:r w:rsidRPr="00942D38">
        <w:rPr>
          <w:rFonts w:ascii="Segoe UI" w:hAnsi="Segoe UI" w:cs="Segoe UI"/>
          <w:i/>
          <w:iCs/>
          <w:sz w:val="18"/>
          <w:szCs w:val="18"/>
        </w:rPr>
        <w:t>Ambient Air Pollution: A Global Assessment of Exposure and Burden of Disease.</w:t>
      </w:r>
      <w:r w:rsidRPr="00942D38">
        <w:rPr>
          <w:rFonts w:ascii="Segoe UI" w:hAnsi="Segoe UI" w:cs="Segoe UI"/>
          <w:sz w:val="18"/>
          <w:szCs w:val="18"/>
        </w:rPr>
        <w:t xml:space="preserve"> Geneva. </w:t>
      </w:r>
      <w:hyperlink r:id="rId102" w:history="1">
        <w:r w:rsidRPr="007317E4">
          <w:rPr>
            <w:rStyle w:val="Hyperlink"/>
            <w:rFonts w:ascii="Segoe UI" w:hAnsi="Segoe UI" w:cs="Segoe UI"/>
            <w:sz w:val="18"/>
            <w:szCs w:val="18"/>
          </w:rPr>
          <w:t>http://www.who.int/iris/bitstream/10665/250141/1/9789241511353-eng.pdf?ua=1</w:t>
        </w:r>
      </w:hyperlink>
      <w:r w:rsidRPr="00942D38">
        <w:rPr>
          <w:rFonts w:ascii="Segoe UI" w:hAnsi="Segoe UI" w:cs="Segoe UI"/>
          <w:sz w:val="18"/>
          <w:szCs w:val="18"/>
        </w:rPr>
        <w:t>.</w:t>
      </w:r>
      <w:r>
        <w:rPr>
          <w:rFonts w:ascii="Segoe UI" w:hAnsi="Segoe UI" w:cs="Segoe UI"/>
          <w:sz w:val="18"/>
          <w:szCs w:val="18"/>
        </w:rPr>
        <w:t xml:space="preserve"> </w:t>
      </w:r>
    </w:p>
    <w:p w14:paraId="67FC37D6"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51F6F89A" w14:textId="27A571B0"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World Health Organization (2018). </w:t>
      </w:r>
      <w:r w:rsidRPr="00942D38">
        <w:rPr>
          <w:rFonts w:ascii="Segoe UI" w:hAnsi="Segoe UI" w:cs="Segoe UI"/>
          <w:i/>
          <w:iCs/>
          <w:sz w:val="18"/>
          <w:szCs w:val="18"/>
        </w:rPr>
        <w:t>WHO outdoor air quality guidelines</w:t>
      </w:r>
      <w:r w:rsidRPr="00942D38">
        <w:rPr>
          <w:rFonts w:ascii="Segoe UI" w:hAnsi="Segoe UI" w:cs="Segoe UI"/>
          <w:sz w:val="18"/>
          <w:szCs w:val="18"/>
        </w:rPr>
        <w:t>. http://www.euro.who.int/en/health-topics/environment-and-health/air-quality/policy/who-outdoor-air-quality-guidelines (Accessed: 10 October 2018).</w:t>
      </w:r>
    </w:p>
    <w:p w14:paraId="0AAC04AA"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043BA3A3" w14:textId="1107310D" w:rsidR="00942D38" w:rsidRPr="00942D38" w:rsidRDefault="00942D38" w:rsidP="00942D38">
      <w:pPr>
        <w:widowControl w:val="0"/>
        <w:autoSpaceDE w:val="0"/>
        <w:autoSpaceDN w:val="0"/>
        <w:adjustRightInd w:val="0"/>
        <w:spacing w:after="0" w:line="240" w:lineRule="auto"/>
        <w:rPr>
          <w:rFonts w:ascii="Segoe UI" w:eastAsia="MS Mincho" w:hAnsi="Segoe UI" w:cs="Segoe UI"/>
          <w:sz w:val="18"/>
          <w:szCs w:val="18"/>
          <w:lang w:val="en-US"/>
        </w:rPr>
      </w:pPr>
      <w:r w:rsidRPr="00942D38">
        <w:rPr>
          <w:rFonts w:ascii="Segoe UI" w:eastAsia="MS Mincho" w:hAnsi="Segoe UI" w:cs="Segoe UI"/>
          <w:sz w:val="18"/>
          <w:szCs w:val="18"/>
          <w:lang w:val="en-US"/>
        </w:rPr>
        <w:t xml:space="preserve">World Resources Institute (2017). </w:t>
      </w:r>
      <w:r w:rsidRPr="00942D38">
        <w:rPr>
          <w:rFonts w:ascii="Segoe UI" w:eastAsia="MS Mincho" w:hAnsi="Segoe UI" w:cs="Segoe UI"/>
          <w:i/>
          <w:iCs/>
          <w:sz w:val="18"/>
          <w:szCs w:val="18"/>
          <w:lang w:val="en-US"/>
        </w:rPr>
        <w:t>Climate analysis indicators tool: WRI’s climate data explorer</w:t>
      </w:r>
      <w:r w:rsidRPr="00942D38">
        <w:rPr>
          <w:rFonts w:ascii="Segoe UI" w:eastAsia="MS Mincho" w:hAnsi="Segoe UI" w:cs="Segoe UI"/>
          <w:sz w:val="18"/>
          <w:szCs w:val="18"/>
          <w:lang w:val="en-US"/>
        </w:rPr>
        <w:t>. http://cait.wri.org/historical/Country%20GHG%20Emissions?indicator</w:t>
      </w:r>
      <w:proofErr w:type="gramStart"/>
      <w:r w:rsidRPr="00942D38">
        <w:rPr>
          <w:rFonts w:ascii="Segoe UI" w:eastAsia="MS Mincho" w:hAnsi="Segoe UI" w:cs="Segoe UI"/>
          <w:sz w:val="18"/>
          <w:szCs w:val="18"/>
          <w:lang w:val="en-US"/>
        </w:rPr>
        <w:t>[]=</w:t>
      </w:r>
      <w:proofErr w:type="gramEnd"/>
      <w:r w:rsidRPr="00942D38">
        <w:rPr>
          <w:rFonts w:ascii="Segoe UI" w:eastAsia="MS Mincho" w:hAnsi="Segoe UI" w:cs="Segoe UI"/>
          <w:sz w:val="18"/>
          <w:szCs w:val="18"/>
          <w:lang w:val="en-US"/>
        </w:rPr>
        <w:t>Total%20GHG%20Emissions%20Excluding%20Land-Use%20Change%20and%20Forestry&amp;indicator[]=Total%20GHG%20Emissions%20Including%20Land-Use%20Change%20and%20Forestry&amp;year[]=2014&amp;sortIdx=NaN&amp;chartType=geo (Accessed: 4 November 2018).</w:t>
      </w:r>
    </w:p>
    <w:p w14:paraId="7F014854" w14:textId="77777777"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p>
    <w:p w14:paraId="6F40AD7B" w14:textId="6EFA6D06" w:rsidR="00942D38" w:rsidRPr="00942D38" w:rsidRDefault="00942D38" w:rsidP="00942D38">
      <w:pPr>
        <w:widowControl w:val="0"/>
        <w:autoSpaceDE w:val="0"/>
        <w:autoSpaceDN w:val="0"/>
        <w:adjustRightInd w:val="0"/>
        <w:spacing w:after="0" w:line="240" w:lineRule="auto"/>
        <w:rPr>
          <w:rFonts w:ascii="Segoe UI" w:hAnsi="Segoe UI" w:cs="Segoe UI"/>
          <w:sz w:val="18"/>
          <w:szCs w:val="18"/>
        </w:rPr>
      </w:pPr>
      <w:r w:rsidRPr="00942D38">
        <w:rPr>
          <w:rFonts w:ascii="Segoe UI" w:hAnsi="Segoe UI" w:cs="Segoe UI"/>
          <w:sz w:val="18"/>
          <w:szCs w:val="18"/>
        </w:rPr>
        <w:t xml:space="preserve">World Wide Fund for Nature (2018). </w:t>
      </w:r>
      <w:r w:rsidRPr="00942D38">
        <w:rPr>
          <w:rFonts w:ascii="Segoe UI" w:hAnsi="Segoe UI" w:cs="Segoe UI"/>
          <w:i/>
          <w:iCs/>
          <w:sz w:val="18"/>
          <w:szCs w:val="18"/>
        </w:rPr>
        <w:t>Forests and Sustainable Development: The Role of SDG 15 in Delivering the 2030 Agenda</w:t>
      </w:r>
      <w:r w:rsidR="0091049A">
        <w:rPr>
          <w:rFonts w:ascii="Segoe UI" w:hAnsi="Segoe UI" w:cs="Segoe UI"/>
          <w:i/>
          <w:iCs/>
          <w:sz w:val="18"/>
          <w:szCs w:val="18"/>
        </w:rPr>
        <w:t>.</w:t>
      </w:r>
      <w:r w:rsidRPr="00942D38">
        <w:rPr>
          <w:rFonts w:ascii="Segoe UI" w:hAnsi="Segoe UI" w:cs="Segoe UI"/>
          <w:i/>
          <w:iCs/>
          <w:sz w:val="18"/>
          <w:szCs w:val="18"/>
        </w:rPr>
        <w:t xml:space="preserve"> </w:t>
      </w:r>
      <w:r w:rsidRPr="00942D38">
        <w:rPr>
          <w:rFonts w:ascii="Segoe UI" w:hAnsi="Segoe UI" w:cs="Segoe UI"/>
          <w:sz w:val="18"/>
          <w:szCs w:val="18"/>
        </w:rPr>
        <w:t xml:space="preserve">Gland. </w:t>
      </w:r>
      <w:hyperlink r:id="rId103" w:history="1">
        <w:r w:rsidRPr="007317E4">
          <w:rPr>
            <w:rStyle w:val="Hyperlink"/>
            <w:rFonts w:ascii="Segoe UI" w:hAnsi="Segoe UI" w:cs="Segoe UI"/>
            <w:sz w:val="18"/>
            <w:szCs w:val="18"/>
          </w:rPr>
          <w:t>http://d2ouvy59p0dg6k.cloudfront.net/downloads/wwf_forest_practice_report_hlpf_2018__forests_and_sustainable_development___the_role_of_.pdf</w:t>
        </w:r>
      </w:hyperlink>
      <w:r w:rsidRPr="00942D38">
        <w:rPr>
          <w:rFonts w:ascii="Segoe UI" w:hAnsi="Segoe UI" w:cs="Segoe UI"/>
          <w:sz w:val="18"/>
          <w:szCs w:val="18"/>
        </w:rPr>
        <w:t>.</w:t>
      </w:r>
      <w:r>
        <w:rPr>
          <w:rFonts w:ascii="Segoe UI" w:hAnsi="Segoe UI" w:cs="Segoe UI"/>
          <w:sz w:val="18"/>
          <w:szCs w:val="18"/>
        </w:rPr>
        <w:t xml:space="preserve"> </w:t>
      </w:r>
    </w:p>
    <w:p w14:paraId="0F166564" w14:textId="77777777" w:rsidR="0035687D" w:rsidRDefault="0035687D" w:rsidP="0035687D">
      <w:pPr>
        <w:widowControl w:val="0"/>
        <w:autoSpaceDE w:val="0"/>
        <w:autoSpaceDN w:val="0"/>
        <w:adjustRightInd w:val="0"/>
        <w:spacing w:after="0" w:line="240" w:lineRule="auto"/>
        <w:rPr>
          <w:rFonts w:ascii="Segoe UI" w:hAnsi="Segoe UI" w:cs="Segoe UI"/>
          <w:sz w:val="18"/>
          <w:szCs w:val="18"/>
        </w:rPr>
      </w:pPr>
    </w:p>
    <w:p w14:paraId="720E24C3" w14:textId="2DC766B3" w:rsidR="000758D2" w:rsidRPr="00E60C47" w:rsidRDefault="000758D2" w:rsidP="0035687D">
      <w:pPr>
        <w:pStyle w:val="Refssub-heading"/>
        <w:numPr>
          <w:ilvl w:val="0"/>
          <w:numId w:val="0"/>
        </w:numPr>
        <w:ind w:left="360" w:hanging="360"/>
        <w:rPr>
          <w:rFonts w:asciiTheme="minorHAnsi" w:hAnsiTheme="minorHAnsi"/>
          <w:color w:val="auto"/>
          <w:sz w:val="20"/>
          <w:szCs w:val="20"/>
        </w:rPr>
      </w:pPr>
    </w:p>
    <w:sectPr w:rsidR="000758D2" w:rsidRPr="00E60C47" w:rsidSect="00E60C47">
      <w:headerReference w:type="default" r:id="rId104"/>
      <w:footerReference w:type="default" r:id="rId105"/>
      <w:pgSz w:w="11906" w:h="16838" w:code="9"/>
      <w:pgMar w:top="1418" w:right="1361"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DF587" w14:textId="77777777" w:rsidR="003B5B80" w:rsidRDefault="003B5B80" w:rsidP="00B477F5">
      <w:r>
        <w:separator/>
      </w:r>
    </w:p>
    <w:p w14:paraId="48A13B32" w14:textId="77777777" w:rsidR="003B5B80" w:rsidRDefault="003B5B80" w:rsidP="00B477F5"/>
  </w:endnote>
  <w:endnote w:type="continuationSeparator" w:id="0">
    <w:p w14:paraId="0C1172BE" w14:textId="77777777" w:rsidR="003B5B80" w:rsidRDefault="003B5B80" w:rsidP="00B477F5">
      <w:r>
        <w:continuationSeparator/>
      </w:r>
    </w:p>
    <w:p w14:paraId="146BA7E3" w14:textId="77777777" w:rsidR="003B5B80" w:rsidRDefault="003B5B80" w:rsidP="00B477F5"/>
  </w:endnote>
  <w:endnote w:type="continuationNotice" w:id="1">
    <w:p w14:paraId="05BA2E03" w14:textId="77777777" w:rsidR="003B5B80" w:rsidRDefault="003B5B80" w:rsidP="00B477F5"/>
    <w:p w14:paraId="5283DB24" w14:textId="77777777" w:rsidR="003B5B80" w:rsidRDefault="003B5B80" w:rsidP="00B47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RijksoverheidSansText">
    <w:altName w:val="Calibri"/>
    <w:charset w:val="00"/>
    <w:family w:val="swiss"/>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entury">
    <w:panose1 w:val="02040604050505020304"/>
    <w:charset w:val="00"/>
    <w:family w:val="roman"/>
    <w:pitch w:val="variable"/>
    <w:sig w:usb0="00000287" w:usb1="00000000" w:usb2="00000000" w:usb3="00000000" w:csb0="0000009F" w:csb1="00000000"/>
  </w:font>
  <w:font w:name="Frutiger LT Pro 57 Condensed">
    <w:altName w:val="Calibri"/>
    <w:charset w:val="00"/>
    <w:family w:val="swiss"/>
    <w:pitch w:val="default"/>
    <w:sig w:usb0="00000003" w:usb1="00000000" w:usb2="00000000" w:usb3="00000000" w:csb0="00000001" w:csb1="00000000"/>
  </w:font>
  <w:font w:name="CIDFont+F2">
    <w:altName w:val="MS Mincho"/>
    <w:charset w:val="80"/>
    <w:family w:val="auto"/>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610394"/>
      <w:docPartObj>
        <w:docPartGallery w:val="Page Numbers (Bottom of Page)"/>
        <w:docPartUnique/>
      </w:docPartObj>
    </w:sdtPr>
    <w:sdtEndPr>
      <w:rPr>
        <w:noProof/>
      </w:rPr>
    </w:sdtEndPr>
    <w:sdtContent>
      <w:p w14:paraId="2C3221A5" w14:textId="4EF2325E" w:rsidR="00EB1478" w:rsidRPr="00440CD4" w:rsidRDefault="00EB1478" w:rsidP="004E7D95">
        <w:pPr>
          <w:pStyle w:val="Footer"/>
          <w:jc w:val="right"/>
        </w:pPr>
        <w:r>
          <w:rPr>
            <w:noProof/>
          </w:rPr>
          <w:fldChar w:fldCharType="begin"/>
        </w:r>
        <w:r>
          <w:rPr>
            <w:noProof/>
          </w:rPr>
          <w:instrText xml:space="preserve"> PAGE   \* MERGEFORMAT </w:instrText>
        </w:r>
        <w:r>
          <w:rPr>
            <w:noProof/>
          </w:rPr>
          <w:fldChar w:fldCharType="separate"/>
        </w:r>
        <w:r w:rsidR="0091049A">
          <w:rPr>
            <w:noProof/>
          </w:rPr>
          <w:t>31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3662" w14:textId="721B6AB5" w:rsidR="00EB1478" w:rsidRPr="00440CD4" w:rsidRDefault="00EB1478" w:rsidP="004E7D95">
    <w:pPr>
      <w:pStyle w:val="Footer"/>
      <w:jc w:val="right"/>
    </w:pPr>
    <w:r>
      <w:rPr>
        <w:noProof/>
      </w:rPr>
      <w:fldChar w:fldCharType="begin"/>
    </w:r>
    <w:r>
      <w:rPr>
        <w:noProof/>
      </w:rPr>
      <w:instrText xml:space="preserve"> PAGE   \* MERGEFORMAT </w:instrText>
    </w:r>
    <w:r>
      <w:rPr>
        <w:noProof/>
      </w:rPr>
      <w:fldChar w:fldCharType="separate"/>
    </w:r>
    <w:r w:rsidR="0091049A">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B32E1" w14:textId="77777777" w:rsidR="003B5B80" w:rsidRDefault="003B5B80" w:rsidP="00B477F5">
      <w:r>
        <w:separator/>
      </w:r>
    </w:p>
    <w:p w14:paraId="4E0B8A46" w14:textId="77777777" w:rsidR="003B5B80" w:rsidRDefault="003B5B80" w:rsidP="00B477F5"/>
  </w:footnote>
  <w:footnote w:type="continuationSeparator" w:id="0">
    <w:p w14:paraId="2CF6EC06" w14:textId="77777777" w:rsidR="003B5B80" w:rsidRDefault="003B5B80" w:rsidP="00B477F5">
      <w:r>
        <w:continuationSeparator/>
      </w:r>
    </w:p>
    <w:p w14:paraId="17C96013" w14:textId="77777777" w:rsidR="003B5B80" w:rsidRDefault="003B5B80" w:rsidP="00B477F5"/>
  </w:footnote>
  <w:footnote w:type="continuationNotice" w:id="1">
    <w:p w14:paraId="37B95495" w14:textId="77777777" w:rsidR="003B5B80" w:rsidRDefault="003B5B80" w:rsidP="00B477F5"/>
    <w:p w14:paraId="5BEEB411" w14:textId="77777777" w:rsidR="003B5B80" w:rsidRDefault="003B5B80" w:rsidP="00B47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B5EB" w14:textId="77777777" w:rsidR="00EB1478" w:rsidRDefault="00EB1478">
    <w:pPr>
      <w:pStyle w:val="Header"/>
    </w:pPr>
    <w:r>
      <w:t>DRAFT – DO NOT CITE OR QUOTE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C025" w14:textId="77777777" w:rsidR="00EB1478" w:rsidRDefault="00EB1478">
    <w:pPr>
      <w:pStyle w:val="Header"/>
    </w:pPr>
    <w:r>
      <w:t>DRAFT – DO NOT CITE OR QUOTE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21A5"/>
    <w:multiLevelType w:val="hybridMultilevel"/>
    <w:tmpl w:val="FD74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155AE"/>
    <w:multiLevelType w:val="multilevel"/>
    <w:tmpl w:val="BF221A1C"/>
    <w:styleLink w:val="ImportedStyle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2" w15:restartNumberingAfterBreak="0">
    <w:nsid w:val="17B77FC1"/>
    <w:multiLevelType w:val="hybridMultilevel"/>
    <w:tmpl w:val="DAFA6814"/>
    <w:styleLink w:val="ImportedStyle6"/>
    <w:lvl w:ilvl="0" w:tplc="239C5B8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66DB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6CB4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F05D2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4185A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69083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F405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E23C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6A40F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22781CD8"/>
    <w:multiLevelType w:val="hybridMultilevel"/>
    <w:tmpl w:val="8A1CBE96"/>
    <w:styleLink w:val="ImportedStyle3"/>
    <w:lvl w:ilvl="0" w:tplc="3AFE6B28">
      <w:start w:val="1"/>
      <w:numFmt w:val="bullet"/>
      <w:lvlText w:val="·"/>
      <w:lvlJc w:val="left"/>
      <w:pPr>
        <w:ind w:left="720" w:hanging="4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CFE14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DE36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5224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20E8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C2E9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DE4F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CC00B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2E7C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9846630"/>
    <w:multiLevelType w:val="hybridMultilevel"/>
    <w:tmpl w:val="BC98A6BC"/>
    <w:lvl w:ilvl="0" w:tplc="0409001B">
      <w:start w:val="1"/>
      <w:numFmt w:val="lowerRoman"/>
      <w:lvlText w:val="%1."/>
      <w:lvlJc w:val="right"/>
      <w:pPr>
        <w:ind w:left="774" w:hanging="360"/>
      </w:pPr>
    </w:lvl>
    <w:lvl w:ilvl="1" w:tplc="0409001B">
      <w:start w:val="1"/>
      <w:numFmt w:val="lowerRoman"/>
      <w:lvlText w:val="%2."/>
      <w:lvlJc w:val="righ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 w15:restartNumberingAfterBreak="0">
    <w:nsid w:val="2C9D41D4"/>
    <w:multiLevelType w:val="hybridMultilevel"/>
    <w:tmpl w:val="245658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3F3279"/>
    <w:multiLevelType w:val="hybridMultilevel"/>
    <w:tmpl w:val="295ABCAA"/>
    <w:styleLink w:val="ImportedStyle4"/>
    <w:lvl w:ilvl="0" w:tplc="429CB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4722A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A26C8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1CCC1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646B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3C8D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27AD0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9E5E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54688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343752B6"/>
    <w:multiLevelType w:val="multilevel"/>
    <w:tmpl w:val="A9FE12DA"/>
    <w:lvl w:ilvl="0">
      <w:start w:val="1"/>
      <w:numFmt w:val="bullet"/>
      <w:pStyle w:val="BulletTex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70619"/>
    <w:multiLevelType w:val="hybridMultilevel"/>
    <w:tmpl w:val="47B8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714F5"/>
    <w:multiLevelType w:val="hybridMultilevel"/>
    <w:tmpl w:val="4506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A66F2"/>
    <w:multiLevelType w:val="multilevel"/>
    <w:tmpl w:val="7D7C90AA"/>
    <w:lvl w:ilvl="0">
      <w:start w:val="1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35E65E5"/>
    <w:multiLevelType w:val="hybridMultilevel"/>
    <w:tmpl w:val="B4524D88"/>
    <w:styleLink w:val="ImportedStyle2"/>
    <w:lvl w:ilvl="0" w:tplc="AA8C2BFE">
      <w:start w:val="1"/>
      <w:numFmt w:val="bullet"/>
      <w:lvlText w:val="•"/>
      <w:lvlJc w:val="left"/>
      <w:pPr>
        <w:ind w:left="1080" w:hanging="72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FF423ADE">
      <w:start w:val="1"/>
      <w:numFmt w:val="bullet"/>
      <w:lvlText w:val="o"/>
      <w:lvlJc w:val="left"/>
      <w:pPr>
        <w:ind w:left="144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DE1C8D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F822DA">
      <w:start w:val="1"/>
      <w:numFmt w:val="bullet"/>
      <w:lvlText w:val="•"/>
      <w:lvlJc w:val="left"/>
      <w:pPr>
        <w:ind w:left="288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54FA5F58">
      <w:start w:val="1"/>
      <w:numFmt w:val="bullet"/>
      <w:lvlText w:val="o"/>
      <w:lvlJc w:val="left"/>
      <w:pPr>
        <w:ind w:left="360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0D46AA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F6D056">
      <w:start w:val="1"/>
      <w:numFmt w:val="bullet"/>
      <w:lvlText w:val="•"/>
      <w:lvlJc w:val="left"/>
      <w:pPr>
        <w:ind w:left="504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33942D56">
      <w:start w:val="1"/>
      <w:numFmt w:val="bullet"/>
      <w:lvlText w:val="o"/>
      <w:lvlJc w:val="left"/>
      <w:pPr>
        <w:ind w:left="576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B40A8C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663416F7"/>
    <w:multiLevelType w:val="hybridMultilevel"/>
    <w:tmpl w:val="117C2DB0"/>
    <w:lvl w:ilvl="0" w:tplc="0409001B">
      <w:start w:val="1"/>
      <w:numFmt w:val="lowerRoman"/>
      <w:lvlText w:val="%1."/>
      <w:lvlJc w:val="right"/>
      <w:pPr>
        <w:ind w:left="720" w:hanging="360"/>
      </w:pPr>
    </w:lvl>
    <w:lvl w:ilvl="1" w:tplc="10A4C88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43594"/>
    <w:multiLevelType w:val="hybridMultilevel"/>
    <w:tmpl w:val="508ED518"/>
    <w:styleLink w:val="ImportedStyle5"/>
    <w:lvl w:ilvl="0" w:tplc="9514C880">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4998B61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0ACA3158">
      <w:start w:val="1"/>
      <w:numFmt w:val="lowerRoman"/>
      <w:lvlText w:val="%3."/>
      <w:lvlJc w:val="left"/>
      <w:pPr>
        <w:ind w:left="2520" w:hanging="313"/>
      </w:pPr>
      <w:rPr>
        <w:rFonts w:hAnsi="Arial Unicode MS"/>
        <w:caps w:val="0"/>
        <w:smallCaps w:val="0"/>
        <w:strike w:val="0"/>
        <w:dstrike w:val="0"/>
        <w:color w:val="000000"/>
        <w:spacing w:val="0"/>
        <w:w w:val="100"/>
        <w:kern w:val="0"/>
        <w:position w:val="0"/>
        <w:highlight w:val="none"/>
        <w:vertAlign w:val="baseline"/>
      </w:rPr>
    </w:lvl>
    <w:lvl w:ilvl="3" w:tplc="696CD02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BE52E87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B0483FA4">
      <w:start w:val="1"/>
      <w:numFmt w:val="lowerRoman"/>
      <w:lvlText w:val="%6."/>
      <w:lvlJc w:val="left"/>
      <w:pPr>
        <w:ind w:left="4680" w:hanging="313"/>
      </w:pPr>
      <w:rPr>
        <w:rFonts w:hAnsi="Arial Unicode MS"/>
        <w:caps w:val="0"/>
        <w:smallCaps w:val="0"/>
        <w:strike w:val="0"/>
        <w:dstrike w:val="0"/>
        <w:color w:val="000000"/>
        <w:spacing w:val="0"/>
        <w:w w:val="100"/>
        <w:kern w:val="0"/>
        <w:position w:val="0"/>
        <w:highlight w:val="none"/>
        <w:vertAlign w:val="baseline"/>
      </w:rPr>
    </w:lvl>
    <w:lvl w:ilvl="6" w:tplc="ECF4E8A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05CA835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71680444">
      <w:start w:val="1"/>
      <w:numFmt w:val="lowerRoman"/>
      <w:lvlText w:val="%9."/>
      <w:lvlJc w:val="left"/>
      <w:pPr>
        <w:ind w:left="684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6A161FF4"/>
    <w:multiLevelType w:val="hybridMultilevel"/>
    <w:tmpl w:val="A8E28994"/>
    <w:lvl w:ilvl="0" w:tplc="83EA5194">
      <w:start w:val="1"/>
      <w:numFmt w:val="decimal"/>
      <w:pStyle w:val="Refssub-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6"/>
  </w:num>
  <w:num w:numId="5">
    <w:abstractNumId w:val="13"/>
  </w:num>
  <w:num w:numId="6">
    <w:abstractNumId w:val="2"/>
  </w:num>
  <w:num w:numId="7">
    <w:abstractNumId w:val="10"/>
  </w:num>
  <w:num w:numId="8">
    <w:abstractNumId w:val="7"/>
  </w:num>
  <w:num w:numId="9">
    <w:abstractNumId w:val="11"/>
  </w:num>
  <w:num w:numId="10">
    <w:abstractNumId w:val="8"/>
  </w:num>
  <w:num w:numId="11">
    <w:abstractNumId w:val="9"/>
  </w:num>
  <w:num w:numId="12">
    <w:abstractNumId w:val="14"/>
  </w:num>
  <w:num w:numId="13">
    <w:abstractNumId w:val="5"/>
  </w:num>
  <w:num w:numId="14">
    <w:abstractNumId w:val="12"/>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proofState w:spelling="clean" w:grammar="clean"/>
  <w:doNotTrackFormatting/>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5E"/>
    <w:rsid w:val="00000E92"/>
    <w:rsid w:val="0000155B"/>
    <w:rsid w:val="00001831"/>
    <w:rsid w:val="00003603"/>
    <w:rsid w:val="000045B0"/>
    <w:rsid w:val="000049C5"/>
    <w:rsid w:val="000053E2"/>
    <w:rsid w:val="0000555E"/>
    <w:rsid w:val="000056BB"/>
    <w:rsid w:val="00005890"/>
    <w:rsid w:val="000125A8"/>
    <w:rsid w:val="00014AC2"/>
    <w:rsid w:val="00017E4F"/>
    <w:rsid w:val="00020A2F"/>
    <w:rsid w:val="000228C2"/>
    <w:rsid w:val="000234C8"/>
    <w:rsid w:val="000330A2"/>
    <w:rsid w:val="00034454"/>
    <w:rsid w:val="00034E7F"/>
    <w:rsid w:val="000351DF"/>
    <w:rsid w:val="000360B0"/>
    <w:rsid w:val="0003633B"/>
    <w:rsid w:val="000368E0"/>
    <w:rsid w:val="00040F4D"/>
    <w:rsid w:val="00041131"/>
    <w:rsid w:val="00041731"/>
    <w:rsid w:val="00043FF5"/>
    <w:rsid w:val="00051A6F"/>
    <w:rsid w:val="00052117"/>
    <w:rsid w:val="00052ABE"/>
    <w:rsid w:val="00054D99"/>
    <w:rsid w:val="00056D2A"/>
    <w:rsid w:val="00066396"/>
    <w:rsid w:val="00071A13"/>
    <w:rsid w:val="000731F5"/>
    <w:rsid w:val="000746DA"/>
    <w:rsid w:val="000758D2"/>
    <w:rsid w:val="00075BA1"/>
    <w:rsid w:val="0007782E"/>
    <w:rsid w:val="00080156"/>
    <w:rsid w:val="00082A6C"/>
    <w:rsid w:val="00084F97"/>
    <w:rsid w:val="00086E28"/>
    <w:rsid w:val="000A1B19"/>
    <w:rsid w:val="000A3AB0"/>
    <w:rsid w:val="000A3BB7"/>
    <w:rsid w:val="000A4C72"/>
    <w:rsid w:val="000A5715"/>
    <w:rsid w:val="000A67E6"/>
    <w:rsid w:val="000A6A84"/>
    <w:rsid w:val="000A78A7"/>
    <w:rsid w:val="000A7F82"/>
    <w:rsid w:val="000B13A9"/>
    <w:rsid w:val="000B18D9"/>
    <w:rsid w:val="000B454B"/>
    <w:rsid w:val="000B5EAC"/>
    <w:rsid w:val="000B60DA"/>
    <w:rsid w:val="000B63AA"/>
    <w:rsid w:val="000B6652"/>
    <w:rsid w:val="000B77A8"/>
    <w:rsid w:val="000C3A0D"/>
    <w:rsid w:val="000C40DF"/>
    <w:rsid w:val="000D1C3D"/>
    <w:rsid w:val="000D3D4C"/>
    <w:rsid w:val="000D43EA"/>
    <w:rsid w:val="000D4CED"/>
    <w:rsid w:val="000D618E"/>
    <w:rsid w:val="000D7192"/>
    <w:rsid w:val="000E061C"/>
    <w:rsid w:val="000E4CF8"/>
    <w:rsid w:val="000E501D"/>
    <w:rsid w:val="000F3F65"/>
    <w:rsid w:val="000F6487"/>
    <w:rsid w:val="00103218"/>
    <w:rsid w:val="00105C3D"/>
    <w:rsid w:val="00107AC2"/>
    <w:rsid w:val="00113D17"/>
    <w:rsid w:val="00115708"/>
    <w:rsid w:val="00123C57"/>
    <w:rsid w:val="00132CA0"/>
    <w:rsid w:val="00133064"/>
    <w:rsid w:val="00141832"/>
    <w:rsid w:val="00142B49"/>
    <w:rsid w:val="00142E47"/>
    <w:rsid w:val="00143E26"/>
    <w:rsid w:val="00145DC7"/>
    <w:rsid w:val="00152736"/>
    <w:rsid w:val="00153CD8"/>
    <w:rsid w:val="00154C6C"/>
    <w:rsid w:val="001556E2"/>
    <w:rsid w:val="00156392"/>
    <w:rsid w:val="00161FE3"/>
    <w:rsid w:val="00162C24"/>
    <w:rsid w:val="00163020"/>
    <w:rsid w:val="00163409"/>
    <w:rsid w:val="001666C1"/>
    <w:rsid w:val="00166EE9"/>
    <w:rsid w:val="00174638"/>
    <w:rsid w:val="001746F0"/>
    <w:rsid w:val="00177A53"/>
    <w:rsid w:val="00177F5E"/>
    <w:rsid w:val="0018202B"/>
    <w:rsid w:val="0018317A"/>
    <w:rsid w:val="001929DC"/>
    <w:rsid w:val="00193C26"/>
    <w:rsid w:val="00194BAE"/>
    <w:rsid w:val="001955D0"/>
    <w:rsid w:val="00195978"/>
    <w:rsid w:val="00195CF7"/>
    <w:rsid w:val="00195E16"/>
    <w:rsid w:val="00197208"/>
    <w:rsid w:val="001A0D1B"/>
    <w:rsid w:val="001A2A19"/>
    <w:rsid w:val="001A3B35"/>
    <w:rsid w:val="001A4643"/>
    <w:rsid w:val="001A6615"/>
    <w:rsid w:val="001B077D"/>
    <w:rsid w:val="001B7BC6"/>
    <w:rsid w:val="001C0D42"/>
    <w:rsid w:val="001C1430"/>
    <w:rsid w:val="001C14E2"/>
    <w:rsid w:val="001C27CC"/>
    <w:rsid w:val="001C48AE"/>
    <w:rsid w:val="001D3C74"/>
    <w:rsid w:val="001D4736"/>
    <w:rsid w:val="001D5019"/>
    <w:rsid w:val="001D5604"/>
    <w:rsid w:val="001E137D"/>
    <w:rsid w:val="001E40C2"/>
    <w:rsid w:val="001E42C7"/>
    <w:rsid w:val="001F55CD"/>
    <w:rsid w:val="001F6854"/>
    <w:rsid w:val="0020393A"/>
    <w:rsid w:val="00205BD8"/>
    <w:rsid w:val="00212ED7"/>
    <w:rsid w:val="00213F30"/>
    <w:rsid w:val="0021784E"/>
    <w:rsid w:val="00222FDA"/>
    <w:rsid w:val="00227DED"/>
    <w:rsid w:val="0023276F"/>
    <w:rsid w:val="0024498D"/>
    <w:rsid w:val="00247E3C"/>
    <w:rsid w:val="00254AEA"/>
    <w:rsid w:val="00254E83"/>
    <w:rsid w:val="00256CFC"/>
    <w:rsid w:val="00256D15"/>
    <w:rsid w:val="0026044D"/>
    <w:rsid w:val="00260875"/>
    <w:rsid w:val="00261FBD"/>
    <w:rsid w:val="0026348F"/>
    <w:rsid w:val="002639CB"/>
    <w:rsid w:val="002676DD"/>
    <w:rsid w:val="00267922"/>
    <w:rsid w:val="00273BBD"/>
    <w:rsid w:val="00274402"/>
    <w:rsid w:val="00274EC0"/>
    <w:rsid w:val="00275E7B"/>
    <w:rsid w:val="00280D45"/>
    <w:rsid w:val="002815BD"/>
    <w:rsid w:val="00281AC6"/>
    <w:rsid w:val="00282915"/>
    <w:rsid w:val="00283601"/>
    <w:rsid w:val="00291F52"/>
    <w:rsid w:val="0029380B"/>
    <w:rsid w:val="00293B21"/>
    <w:rsid w:val="002957C0"/>
    <w:rsid w:val="00295C08"/>
    <w:rsid w:val="00297B38"/>
    <w:rsid w:val="002A04F6"/>
    <w:rsid w:val="002A15D3"/>
    <w:rsid w:val="002A4A78"/>
    <w:rsid w:val="002A743B"/>
    <w:rsid w:val="002B0D95"/>
    <w:rsid w:val="002B4F59"/>
    <w:rsid w:val="002B5EFD"/>
    <w:rsid w:val="002C0A84"/>
    <w:rsid w:val="002C3F6F"/>
    <w:rsid w:val="002C3FE2"/>
    <w:rsid w:val="002C4DF3"/>
    <w:rsid w:val="002C7812"/>
    <w:rsid w:val="002D1AC4"/>
    <w:rsid w:val="002D32CD"/>
    <w:rsid w:val="002D487A"/>
    <w:rsid w:val="002D5403"/>
    <w:rsid w:val="002D5D32"/>
    <w:rsid w:val="002D5FCA"/>
    <w:rsid w:val="002D7106"/>
    <w:rsid w:val="002E13C2"/>
    <w:rsid w:val="002E15A7"/>
    <w:rsid w:val="002E269B"/>
    <w:rsid w:val="002E444C"/>
    <w:rsid w:val="002E75C9"/>
    <w:rsid w:val="002E7EE8"/>
    <w:rsid w:val="002F085E"/>
    <w:rsid w:val="0030343D"/>
    <w:rsid w:val="003056A9"/>
    <w:rsid w:val="00306B61"/>
    <w:rsid w:val="00312589"/>
    <w:rsid w:val="00314337"/>
    <w:rsid w:val="003144DD"/>
    <w:rsid w:val="00315093"/>
    <w:rsid w:val="0032172C"/>
    <w:rsid w:val="00322DD7"/>
    <w:rsid w:val="003231AA"/>
    <w:rsid w:val="00325377"/>
    <w:rsid w:val="003317BA"/>
    <w:rsid w:val="00333916"/>
    <w:rsid w:val="003339B3"/>
    <w:rsid w:val="00335AAD"/>
    <w:rsid w:val="00336462"/>
    <w:rsid w:val="003429DF"/>
    <w:rsid w:val="00345935"/>
    <w:rsid w:val="00350B00"/>
    <w:rsid w:val="00351C6A"/>
    <w:rsid w:val="00355DBD"/>
    <w:rsid w:val="0035687D"/>
    <w:rsid w:val="00356E68"/>
    <w:rsid w:val="00360A07"/>
    <w:rsid w:val="003637D4"/>
    <w:rsid w:val="00364053"/>
    <w:rsid w:val="00365A3C"/>
    <w:rsid w:val="00366682"/>
    <w:rsid w:val="0036672D"/>
    <w:rsid w:val="00370575"/>
    <w:rsid w:val="00371047"/>
    <w:rsid w:val="00372002"/>
    <w:rsid w:val="0037530A"/>
    <w:rsid w:val="00375A5D"/>
    <w:rsid w:val="00382268"/>
    <w:rsid w:val="003825D2"/>
    <w:rsid w:val="00382829"/>
    <w:rsid w:val="003839B5"/>
    <w:rsid w:val="00383CF9"/>
    <w:rsid w:val="00387D66"/>
    <w:rsid w:val="00387EA6"/>
    <w:rsid w:val="00390918"/>
    <w:rsid w:val="00390F61"/>
    <w:rsid w:val="0039544C"/>
    <w:rsid w:val="00396B02"/>
    <w:rsid w:val="0039796D"/>
    <w:rsid w:val="003A008C"/>
    <w:rsid w:val="003A2197"/>
    <w:rsid w:val="003A28BB"/>
    <w:rsid w:val="003A2F67"/>
    <w:rsid w:val="003B2538"/>
    <w:rsid w:val="003B26DD"/>
    <w:rsid w:val="003B4E0B"/>
    <w:rsid w:val="003B578D"/>
    <w:rsid w:val="003B5B80"/>
    <w:rsid w:val="003B7FFC"/>
    <w:rsid w:val="003C49EF"/>
    <w:rsid w:val="003C78F2"/>
    <w:rsid w:val="003D1D3E"/>
    <w:rsid w:val="003D4C06"/>
    <w:rsid w:val="003D5C92"/>
    <w:rsid w:val="003D72DA"/>
    <w:rsid w:val="003E15B1"/>
    <w:rsid w:val="003E4072"/>
    <w:rsid w:val="003E4A72"/>
    <w:rsid w:val="003E7856"/>
    <w:rsid w:val="003F0E0D"/>
    <w:rsid w:val="003F24F5"/>
    <w:rsid w:val="003F4E60"/>
    <w:rsid w:val="00400B47"/>
    <w:rsid w:val="00400FB6"/>
    <w:rsid w:val="00401A25"/>
    <w:rsid w:val="0040594F"/>
    <w:rsid w:val="00412A74"/>
    <w:rsid w:val="004146B4"/>
    <w:rsid w:val="00420A52"/>
    <w:rsid w:val="00420EE0"/>
    <w:rsid w:val="004214BF"/>
    <w:rsid w:val="0042270D"/>
    <w:rsid w:val="0042425B"/>
    <w:rsid w:val="00430786"/>
    <w:rsid w:val="00433AAC"/>
    <w:rsid w:val="00440CD4"/>
    <w:rsid w:val="00441523"/>
    <w:rsid w:val="00442190"/>
    <w:rsid w:val="00442547"/>
    <w:rsid w:val="00445A18"/>
    <w:rsid w:val="004466E4"/>
    <w:rsid w:val="0044733A"/>
    <w:rsid w:val="004473C5"/>
    <w:rsid w:val="00451659"/>
    <w:rsid w:val="0045277B"/>
    <w:rsid w:val="00453ABD"/>
    <w:rsid w:val="004552E9"/>
    <w:rsid w:val="00457214"/>
    <w:rsid w:val="00457C6A"/>
    <w:rsid w:val="00464E04"/>
    <w:rsid w:val="004651D6"/>
    <w:rsid w:val="00467DD7"/>
    <w:rsid w:val="00467DD8"/>
    <w:rsid w:val="00471755"/>
    <w:rsid w:val="0047273A"/>
    <w:rsid w:val="004735C0"/>
    <w:rsid w:val="00477204"/>
    <w:rsid w:val="004773DC"/>
    <w:rsid w:val="00481141"/>
    <w:rsid w:val="00485CCD"/>
    <w:rsid w:val="0048661B"/>
    <w:rsid w:val="004874B8"/>
    <w:rsid w:val="00490B99"/>
    <w:rsid w:val="004951B7"/>
    <w:rsid w:val="004A1A26"/>
    <w:rsid w:val="004A7CBC"/>
    <w:rsid w:val="004B23E3"/>
    <w:rsid w:val="004B2A61"/>
    <w:rsid w:val="004B6094"/>
    <w:rsid w:val="004B6B13"/>
    <w:rsid w:val="004B7DC6"/>
    <w:rsid w:val="004C03EF"/>
    <w:rsid w:val="004C1C51"/>
    <w:rsid w:val="004D090D"/>
    <w:rsid w:val="004D2639"/>
    <w:rsid w:val="004E090D"/>
    <w:rsid w:val="004E7014"/>
    <w:rsid w:val="004E78FE"/>
    <w:rsid w:val="004E7D95"/>
    <w:rsid w:val="004F323A"/>
    <w:rsid w:val="0050030D"/>
    <w:rsid w:val="00502E60"/>
    <w:rsid w:val="00504684"/>
    <w:rsid w:val="00505A21"/>
    <w:rsid w:val="0050607D"/>
    <w:rsid w:val="00512FED"/>
    <w:rsid w:val="0051469B"/>
    <w:rsid w:val="00514AD4"/>
    <w:rsid w:val="005240B1"/>
    <w:rsid w:val="0052474B"/>
    <w:rsid w:val="0052685E"/>
    <w:rsid w:val="00531CC6"/>
    <w:rsid w:val="00532D50"/>
    <w:rsid w:val="00533FB8"/>
    <w:rsid w:val="0053411A"/>
    <w:rsid w:val="00536A2A"/>
    <w:rsid w:val="00540036"/>
    <w:rsid w:val="00540CD3"/>
    <w:rsid w:val="00541147"/>
    <w:rsid w:val="005431AC"/>
    <w:rsid w:val="00545D3B"/>
    <w:rsid w:val="00546B83"/>
    <w:rsid w:val="0055094B"/>
    <w:rsid w:val="00550A29"/>
    <w:rsid w:val="00552183"/>
    <w:rsid w:val="00555ADA"/>
    <w:rsid w:val="00561EAE"/>
    <w:rsid w:val="00561FBA"/>
    <w:rsid w:val="005637E0"/>
    <w:rsid w:val="00566591"/>
    <w:rsid w:val="00567BA8"/>
    <w:rsid w:val="00570807"/>
    <w:rsid w:val="00570AD9"/>
    <w:rsid w:val="00577158"/>
    <w:rsid w:val="00580E19"/>
    <w:rsid w:val="005914A5"/>
    <w:rsid w:val="00592FC6"/>
    <w:rsid w:val="00595A28"/>
    <w:rsid w:val="00596F1E"/>
    <w:rsid w:val="005A1F41"/>
    <w:rsid w:val="005A3101"/>
    <w:rsid w:val="005A775A"/>
    <w:rsid w:val="005B1C94"/>
    <w:rsid w:val="005B4943"/>
    <w:rsid w:val="005B5973"/>
    <w:rsid w:val="005C164C"/>
    <w:rsid w:val="005C1FF7"/>
    <w:rsid w:val="005C7063"/>
    <w:rsid w:val="005D018D"/>
    <w:rsid w:val="005E264A"/>
    <w:rsid w:val="005E4DED"/>
    <w:rsid w:val="005E7E87"/>
    <w:rsid w:val="00601978"/>
    <w:rsid w:val="00602803"/>
    <w:rsid w:val="006058B0"/>
    <w:rsid w:val="00612996"/>
    <w:rsid w:val="006173B9"/>
    <w:rsid w:val="00622291"/>
    <w:rsid w:val="00622CD5"/>
    <w:rsid w:val="00622E8E"/>
    <w:rsid w:val="0062396E"/>
    <w:rsid w:val="0062718D"/>
    <w:rsid w:val="00635F1F"/>
    <w:rsid w:val="00635FF0"/>
    <w:rsid w:val="00643658"/>
    <w:rsid w:val="00644E0C"/>
    <w:rsid w:val="00645DAF"/>
    <w:rsid w:val="00645FA0"/>
    <w:rsid w:val="006507E9"/>
    <w:rsid w:val="00651D6E"/>
    <w:rsid w:val="00653255"/>
    <w:rsid w:val="006544AD"/>
    <w:rsid w:val="006561E7"/>
    <w:rsid w:val="00657F46"/>
    <w:rsid w:val="00661F8D"/>
    <w:rsid w:val="00663645"/>
    <w:rsid w:val="00665EB8"/>
    <w:rsid w:val="00670B24"/>
    <w:rsid w:val="006777BA"/>
    <w:rsid w:val="0068187E"/>
    <w:rsid w:val="00686144"/>
    <w:rsid w:val="00686BB3"/>
    <w:rsid w:val="00690B74"/>
    <w:rsid w:val="006934D5"/>
    <w:rsid w:val="0069429F"/>
    <w:rsid w:val="00694B64"/>
    <w:rsid w:val="00694E3B"/>
    <w:rsid w:val="00694FC8"/>
    <w:rsid w:val="006966C8"/>
    <w:rsid w:val="006979E0"/>
    <w:rsid w:val="006A0406"/>
    <w:rsid w:val="006A2347"/>
    <w:rsid w:val="006A5DB9"/>
    <w:rsid w:val="006A7B3C"/>
    <w:rsid w:val="006B17D0"/>
    <w:rsid w:val="006B655B"/>
    <w:rsid w:val="006C01AF"/>
    <w:rsid w:val="006C0DA9"/>
    <w:rsid w:val="006C25C3"/>
    <w:rsid w:val="006C4939"/>
    <w:rsid w:val="006C63AF"/>
    <w:rsid w:val="006C7B17"/>
    <w:rsid w:val="006D0A4B"/>
    <w:rsid w:val="006D4A41"/>
    <w:rsid w:val="006E16A3"/>
    <w:rsid w:val="006E1A7D"/>
    <w:rsid w:val="006E6ED4"/>
    <w:rsid w:val="006E7B5B"/>
    <w:rsid w:val="006F1E19"/>
    <w:rsid w:val="00706662"/>
    <w:rsid w:val="00706818"/>
    <w:rsid w:val="007132B5"/>
    <w:rsid w:val="00713924"/>
    <w:rsid w:val="00714DE2"/>
    <w:rsid w:val="00714FC7"/>
    <w:rsid w:val="0071632C"/>
    <w:rsid w:val="00723413"/>
    <w:rsid w:val="00727354"/>
    <w:rsid w:val="00733498"/>
    <w:rsid w:val="00736A67"/>
    <w:rsid w:val="00741917"/>
    <w:rsid w:val="00742BE1"/>
    <w:rsid w:val="00744B93"/>
    <w:rsid w:val="00744E6A"/>
    <w:rsid w:val="00745563"/>
    <w:rsid w:val="007538D9"/>
    <w:rsid w:val="00754046"/>
    <w:rsid w:val="00761440"/>
    <w:rsid w:val="007627C4"/>
    <w:rsid w:val="00766320"/>
    <w:rsid w:val="007709A8"/>
    <w:rsid w:val="007719B2"/>
    <w:rsid w:val="00776655"/>
    <w:rsid w:val="007769F1"/>
    <w:rsid w:val="007809F9"/>
    <w:rsid w:val="00782AB3"/>
    <w:rsid w:val="00785EDF"/>
    <w:rsid w:val="00787030"/>
    <w:rsid w:val="00791877"/>
    <w:rsid w:val="00792C80"/>
    <w:rsid w:val="0079584A"/>
    <w:rsid w:val="00795CDE"/>
    <w:rsid w:val="00796CEC"/>
    <w:rsid w:val="0079758E"/>
    <w:rsid w:val="007A04C9"/>
    <w:rsid w:val="007A17D0"/>
    <w:rsid w:val="007A3D6E"/>
    <w:rsid w:val="007A4613"/>
    <w:rsid w:val="007B1014"/>
    <w:rsid w:val="007B1C0E"/>
    <w:rsid w:val="007B54C4"/>
    <w:rsid w:val="007C2145"/>
    <w:rsid w:val="007C2AE6"/>
    <w:rsid w:val="007C4D76"/>
    <w:rsid w:val="007C5236"/>
    <w:rsid w:val="007C6300"/>
    <w:rsid w:val="007D6A22"/>
    <w:rsid w:val="007D75ED"/>
    <w:rsid w:val="007D7979"/>
    <w:rsid w:val="007D7DBA"/>
    <w:rsid w:val="007E080A"/>
    <w:rsid w:val="007E17CB"/>
    <w:rsid w:val="007E1A1A"/>
    <w:rsid w:val="007E2545"/>
    <w:rsid w:val="007E26A8"/>
    <w:rsid w:val="007E42F1"/>
    <w:rsid w:val="007E46CC"/>
    <w:rsid w:val="007F0E2F"/>
    <w:rsid w:val="007F1C50"/>
    <w:rsid w:val="007F3A59"/>
    <w:rsid w:val="007F4267"/>
    <w:rsid w:val="007F4A8E"/>
    <w:rsid w:val="007F7F78"/>
    <w:rsid w:val="0080107D"/>
    <w:rsid w:val="00803EB6"/>
    <w:rsid w:val="00804442"/>
    <w:rsid w:val="00806DFE"/>
    <w:rsid w:val="00807A04"/>
    <w:rsid w:val="00811FAD"/>
    <w:rsid w:val="00817585"/>
    <w:rsid w:val="00822B79"/>
    <w:rsid w:val="00823ECE"/>
    <w:rsid w:val="00830149"/>
    <w:rsid w:val="00831157"/>
    <w:rsid w:val="00832B43"/>
    <w:rsid w:val="00841266"/>
    <w:rsid w:val="008428AA"/>
    <w:rsid w:val="00842A8D"/>
    <w:rsid w:val="00845EB5"/>
    <w:rsid w:val="008516EA"/>
    <w:rsid w:val="00855E92"/>
    <w:rsid w:val="0085770B"/>
    <w:rsid w:val="00861323"/>
    <w:rsid w:val="00861BCA"/>
    <w:rsid w:val="0086499D"/>
    <w:rsid w:val="00866D5F"/>
    <w:rsid w:val="00880AB2"/>
    <w:rsid w:val="0088303B"/>
    <w:rsid w:val="008873A2"/>
    <w:rsid w:val="00887B16"/>
    <w:rsid w:val="00892733"/>
    <w:rsid w:val="0089432D"/>
    <w:rsid w:val="008A25F8"/>
    <w:rsid w:val="008A2C1B"/>
    <w:rsid w:val="008A4F83"/>
    <w:rsid w:val="008B390C"/>
    <w:rsid w:val="008B3C4C"/>
    <w:rsid w:val="008C3149"/>
    <w:rsid w:val="008D0A45"/>
    <w:rsid w:val="008D6AEC"/>
    <w:rsid w:val="008D7EDD"/>
    <w:rsid w:val="008E1DAB"/>
    <w:rsid w:val="008E3C80"/>
    <w:rsid w:val="008E4963"/>
    <w:rsid w:val="008F1FDB"/>
    <w:rsid w:val="008F5A5F"/>
    <w:rsid w:val="008F5F84"/>
    <w:rsid w:val="008F7799"/>
    <w:rsid w:val="00902647"/>
    <w:rsid w:val="00903CE9"/>
    <w:rsid w:val="00904249"/>
    <w:rsid w:val="00905009"/>
    <w:rsid w:val="0091049A"/>
    <w:rsid w:val="00910EE4"/>
    <w:rsid w:val="009116AB"/>
    <w:rsid w:val="00911D19"/>
    <w:rsid w:val="009126B5"/>
    <w:rsid w:val="0091490D"/>
    <w:rsid w:val="0091520D"/>
    <w:rsid w:val="00916A92"/>
    <w:rsid w:val="00917223"/>
    <w:rsid w:val="00920E4F"/>
    <w:rsid w:val="00923B0D"/>
    <w:rsid w:val="00932477"/>
    <w:rsid w:val="009358C6"/>
    <w:rsid w:val="00935F4B"/>
    <w:rsid w:val="00936018"/>
    <w:rsid w:val="009361A0"/>
    <w:rsid w:val="00936317"/>
    <w:rsid w:val="0094168C"/>
    <w:rsid w:val="009426FA"/>
    <w:rsid w:val="00942889"/>
    <w:rsid w:val="00942D38"/>
    <w:rsid w:val="0094494C"/>
    <w:rsid w:val="00944F29"/>
    <w:rsid w:val="0095187A"/>
    <w:rsid w:val="00954356"/>
    <w:rsid w:val="00955DD1"/>
    <w:rsid w:val="00956B39"/>
    <w:rsid w:val="00960CC0"/>
    <w:rsid w:val="00961F50"/>
    <w:rsid w:val="00961F60"/>
    <w:rsid w:val="009622C8"/>
    <w:rsid w:val="00965E40"/>
    <w:rsid w:val="00966B0A"/>
    <w:rsid w:val="009676B5"/>
    <w:rsid w:val="00967BCC"/>
    <w:rsid w:val="0097284F"/>
    <w:rsid w:val="009732D0"/>
    <w:rsid w:val="00977011"/>
    <w:rsid w:val="00977244"/>
    <w:rsid w:val="00980ABC"/>
    <w:rsid w:val="00982AE9"/>
    <w:rsid w:val="00982C63"/>
    <w:rsid w:val="00982E5A"/>
    <w:rsid w:val="00982FC1"/>
    <w:rsid w:val="009831A6"/>
    <w:rsid w:val="009866E1"/>
    <w:rsid w:val="00986DA8"/>
    <w:rsid w:val="009929D1"/>
    <w:rsid w:val="00994A91"/>
    <w:rsid w:val="00997819"/>
    <w:rsid w:val="009A1522"/>
    <w:rsid w:val="009A1AB8"/>
    <w:rsid w:val="009A4152"/>
    <w:rsid w:val="009A4F10"/>
    <w:rsid w:val="009A580B"/>
    <w:rsid w:val="009B13E6"/>
    <w:rsid w:val="009B24A7"/>
    <w:rsid w:val="009B6C23"/>
    <w:rsid w:val="009B7C8B"/>
    <w:rsid w:val="009B7F08"/>
    <w:rsid w:val="009C0623"/>
    <w:rsid w:val="009C0ACF"/>
    <w:rsid w:val="009C5119"/>
    <w:rsid w:val="009C7AE1"/>
    <w:rsid w:val="009D169C"/>
    <w:rsid w:val="009E0147"/>
    <w:rsid w:val="009E3B84"/>
    <w:rsid w:val="009E6229"/>
    <w:rsid w:val="009F3719"/>
    <w:rsid w:val="009F55D5"/>
    <w:rsid w:val="009F7E97"/>
    <w:rsid w:val="00A0597F"/>
    <w:rsid w:val="00A07B2E"/>
    <w:rsid w:val="00A11742"/>
    <w:rsid w:val="00A11AC2"/>
    <w:rsid w:val="00A12295"/>
    <w:rsid w:val="00A12DC5"/>
    <w:rsid w:val="00A150D6"/>
    <w:rsid w:val="00A24BE8"/>
    <w:rsid w:val="00A2635F"/>
    <w:rsid w:val="00A27139"/>
    <w:rsid w:val="00A31796"/>
    <w:rsid w:val="00A3387B"/>
    <w:rsid w:val="00A37E65"/>
    <w:rsid w:val="00A40509"/>
    <w:rsid w:val="00A41281"/>
    <w:rsid w:val="00A439F0"/>
    <w:rsid w:val="00A476E9"/>
    <w:rsid w:val="00A4793D"/>
    <w:rsid w:val="00A50CD1"/>
    <w:rsid w:val="00A565D4"/>
    <w:rsid w:val="00A56974"/>
    <w:rsid w:val="00A60BB1"/>
    <w:rsid w:val="00A63E58"/>
    <w:rsid w:val="00A6718A"/>
    <w:rsid w:val="00A745CE"/>
    <w:rsid w:val="00A74ADE"/>
    <w:rsid w:val="00A76652"/>
    <w:rsid w:val="00A7729E"/>
    <w:rsid w:val="00A7752D"/>
    <w:rsid w:val="00A77976"/>
    <w:rsid w:val="00A80568"/>
    <w:rsid w:val="00A8116C"/>
    <w:rsid w:val="00A85894"/>
    <w:rsid w:val="00A87F00"/>
    <w:rsid w:val="00A908DE"/>
    <w:rsid w:val="00A94D8C"/>
    <w:rsid w:val="00A9770C"/>
    <w:rsid w:val="00A978B7"/>
    <w:rsid w:val="00AA3430"/>
    <w:rsid w:val="00AA3463"/>
    <w:rsid w:val="00AA4BDC"/>
    <w:rsid w:val="00AA68F3"/>
    <w:rsid w:val="00AB084F"/>
    <w:rsid w:val="00AB383B"/>
    <w:rsid w:val="00AB7E10"/>
    <w:rsid w:val="00AC1345"/>
    <w:rsid w:val="00AC356D"/>
    <w:rsid w:val="00AC3F14"/>
    <w:rsid w:val="00AC5BC6"/>
    <w:rsid w:val="00AD5F5D"/>
    <w:rsid w:val="00AD782B"/>
    <w:rsid w:val="00AE00C2"/>
    <w:rsid w:val="00AE03E9"/>
    <w:rsid w:val="00AE2A1B"/>
    <w:rsid w:val="00AE45CB"/>
    <w:rsid w:val="00AE6443"/>
    <w:rsid w:val="00AE694A"/>
    <w:rsid w:val="00AE797D"/>
    <w:rsid w:val="00AF110A"/>
    <w:rsid w:val="00AF3524"/>
    <w:rsid w:val="00AF5C79"/>
    <w:rsid w:val="00AF6FEF"/>
    <w:rsid w:val="00B03A00"/>
    <w:rsid w:val="00B03AC4"/>
    <w:rsid w:val="00B05F3C"/>
    <w:rsid w:val="00B124DF"/>
    <w:rsid w:val="00B12727"/>
    <w:rsid w:val="00B12BEC"/>
    <w:rsid w:val="00B151EB"/>
    <w:rsid w:val="00B153AE"/>
    <w:rsid w:val="00B15F0F"/>
    <w:rsid w:val="00B24C34"/>
    <w:rsid w:val="00B25748"/>
    <w:rsid w:val="00B315F2"/>
    <w:rsid w:val="00B3199A"/>
    <w:rsid w:val="00B360F6"/>
    <w:rsid w:val="00B37837"/>
    <w:rsid w:val="00B4128C"/>
    <w:rsid w:val="00B44841"/>
    <w:rsid w:val="00B45619"/>
    <w:rsid w:val="00B46891"/>
    <w:rsid w:val="00B4741A"/>
    <w:rsid w:val="00B477F5"/>
    <w:rsid w:val="00B50660"/>
    <w:rsid w:val="00B50A6E"/>
    <w:rsid w:val="00B66C1C"/>
    <w:rsid w:val="00B67FC1"/>
    <w:rsid w:val="00B706A6"/>
    <w:rsid w:val="00B737F7"/>
    <w:rsid w:val="00B73DB9"/>
    <w:rsid w:val="00B7678C"/>
    <w:rsid w:val="00B77A5C"/>
    <w:rsid w:val="00B77DCB"/>
    <w:rsid w:val="00B813F4"/>
    <w:rsid w:val="00B81F50"/>
    <w:rsid w:val="00B82136"/>
    <w:rsid w:val="00B86843"/>
    <w:rsid w:val="00B902C4"/>
    <w:rsid w:val="00B905E0"/>
    <w:rsid w:val="00B9118E"/>
    <w:rsid w:val="00B95B03"/>
    <w:rsid w:val="00BA0B12"/>
    <w:rsid w:val="00BA2A36"/>
    <w:rsid w:val="00BA403D"/>
    <w:rsid w:val="00BA6181"/>
    <w:rsid w:val="00BA6A1F"/>
    <w:rsid w:val="00BB00D7"/>
    <w:rsid w:val="00BB1EF3"/>
    <w:rsid w:val="00BB57CE"/>
    <w:rsid w:val="00BB7616"/>
    <w:rsid w:val="00BB7828"/>
    <w:rsid w:val="00BB7DE5"/>
    <w:rsid w:val="00BC16A3"/>
    <w:rsid w:val="00BC484F"/>
    <w:rsid w:val="00BC6BD1"/>
    <w:rsid w:val="00BD2285"/>
    <w:rsid w:val="00BD4211"/>
    <w:rsid w:val="00BD6615"/>
    <w:rsid w:val="00BE22C4"/>
    <w:rsid w:val="00BE3CE6"/>
    <w:rsid w:val="00BF0B82"/>
    <w:rsid w:val="00BF34E5"/>
    <w:rsid w:val="00BF441A"/>
    <w:rsid w:val="00BF782F"/>
    <w:rsid w:val="00C02B0B"/>
    <w:rsid w:val="00C0301F"/>
    <w:rsid w:val="00C0420E"/>
    <w:rsid w:val="00C0608D"/>
    <w:rsid w:val="00C07900"/>
    <w:rsid w:val="00C07E67"/>
    <w:rsid w:val="00C116F2"/>
    <w:rsid w:val="00C11FC4"/>
    <w:rsid w:val="00C127E8"/>
    <w:rsid w:val="00C15DB7"/>
    <w:rsid w:val="00C24A06"/>
    <w:rsid w:val="00C3040B"/>
    <w:rsid w:val="00C30897"/>
    <w:rsid w:val="00C30D0A"/>
    <w:rsid w:val="00C31581"/>
    <w:rsid w:val="00C32A6E"/>
    <w:rsid w:val="00C33019"/>
    <w:rsid w:val="00C3388B"/>
    <w:rsid w:val="00C35993"/>
    <w:rsid w:val="00C36527"/>
    <w:rsid w:val="00C41B3F"/>
    <w:rsid w:val="00C43E7B"/>
    <w:rsid w:val="00C5022E"/>
    <w:rsid w:val="00C50F6D"/>
    <w:rsid w:val="00C5133E"/>
    <w:rsid w:val="00C532B7"/>
    <w:rsid w:val="00C55C43"/>
    <w:rsid w:val="00C56489"/>
    <w:rsid w:val="00C56C08"/>
    <w:rsid w:val="00C57A67"/>
    <w:rsid w:val="00C646DB"/>
    <w:rsid w:val="00C66A05"/>
    <w:rsid w:val="00C71657"/>
    <w:rsid w:val="00C71E73"/>
    <w:rsid w:val="00C76876"/>
    <w:rsid w:val="00C76B14"/>
    <w:rsid w:val="00C776F0"/>
    <w:rsid w:val="00C8205C"/>
    <w:rsid w:val="00C87257"/>
    <w:rsid w:val="00C9410D"/>
    <w:rsid w:val="00C945CB"/>
    <w:rsid w:val="00C96139"/>
    <w:rsid w:val="00CA420F"/>
    <w:rsid w:val="00CA621C"/>
    <w:rsid w:val="00CB1DD7"/>
    <w:rsid w:val="00CB721B"/>
    <w:rsid w:val="00CB7311"/>
    <w:rsid w:val="00CB7EAA"/>
    <w:rsid w:val="00CC131D"/>
    <w:rsid w:val="00CC2423"/>
    <w:rsid w:val="00CC2BDE"/>
    <w:rsid w:val="00CC48C9"/>
    <w:rsid w:val="00CC5BDD"/>
    <w:rsid w:val="00CC6457"/>
    <w:rsid w:val="00CC7A7C"/>
    <w:rsid w:val="00CD1272"/>
    <w:rsid w:val="00CD1F6F"/>
    <w:rsid w:val="00CD4B57"/>
    <w:rsid w:val="00CD7500"/>
    <w:rsid w:val="00CD7CD6"/>
    <w:rsid w:val="00CE0A06"/>
    <w:rsid w:val="00CE0CA1"/>
    <w:rsid w:val="00CE343A"/>
    <w:rsid w:val="00CE3923"/>
    <w:rsid w:val="00CE6564"/>
    <w:rsid w:val="00CF117E"/>
    <w:rsid w:val="00CF164C"/>
    <w:rsid w:val="00CF3144"/>
    <w:rsid w:val="00CF3711"/>
    <w:rsid w:val="00CF4358"/>
    <w:rsid w:val="00CF6AC1"/>
    <w:rsid w:val="00CF6FD2"/>
    <w:rsid w:val="00CF7F48"/>
    <w:rsid w:val="00D005C8"/>
    <w:rsid w:val="00D02A12"/>
    <w:rsid w:val="00D06038"/>
    <w:rsid w:val="00D06541"/>
    <w:rsid w:val="00D117F3"/>
    <w:rsid w:val="00D12479"/>
    <w:rsid w:val="00D15F62"/>
    <w:rsid w:val="00D169A0"/>
    <w:rsid w:val="00D24143"/>
    <w:rsid w:val="00D2621B"/>
    <w:rsid w:val="00D26870"/>
    <w:rsid w:val="00D30336"/>
    <w:rsid w:val="00D30EBF"/>
    <w:rsid w:val="00D31F00"/>
    <w:rsid w:val="00D40F3D"/>
    <w:rsid w:val="00D435D9"/>
    <w:rsid w:val="00D46D36"/>
    <w:rsid w:val="00D47A81"/>
    <w:rsid w:val="00D517A0"/>
    <w:rsid w:val="00D519CF"/>
    <w:rsid w:val="00D55BA3"/>
    <w:rsid w:val="00D56970"/>
    <w:rsid w:val="00D60C15"/>
    <w:rsid w:val="00D61152"/>
    <w:rsid w:val="00D62A75"/>
    <w:rsid w:val="00D640B9"/>
    <w:rsid w:val="00D6593C"/>
    <w:rsid w:val="00D66746"/>
    <w:rsid w:val="00D67393"/>
    <w:rsid w:val="00D67C22"/>
    <w:rsid w:val="00D71F48"/>
    <w:rsid w:val="00D72070"/>
    <w:rsid w:val="00D7235A"/>
    <w:rsid w:val="00D72527"/>
    <w:rsid w:val="00D73A4E"/>
    <w:rsid w:val="00D747AC"/>
    <w:rsid w:val="00D74BD9"/>
    <w:rsid w:val="00D76291"/>
    <w:rsid w:val="00D772A4"/>
    <w:rsid w:val="00D82EA8"/>
    <w:rsid w:val="00D84667"/>
    <w:rsid w:val="00D84859"/>
    <w:rsid w:val="00D86626"/>
    <w:rsid w:val="00D86B9D"/>
    <w:rsid w:val="00D9238E"/>
    <w:rsid w:val="00D94CEE"/>
    <w:rsid w:val="00D95BBD"/>
    <w:rsid w:val="00D96334"/>
    <w:rsid w:val="00D965EF"/>
    <w:rsid w:val="00D969AB"/>
    <w:rsid w:val="00DA2F7A"/>
    <w:rsid w:val="00DA469A"/>
    <w:rsid w:val="00DA49E0"/>
    <w:rsid w:val="00DA5924"/>
    <w:rsid w:val="00DA6D4C"/>
    <w:rsid w:val="00DB195E"/>
    <w:rsid w:val="00DB4106"/>
    <w:rsid w:val="00DB68BD"/>
    <w:rsid w:val="00DC0DDF"/>
    <w:rsid w:val="00DC2623"/>
    <w:rsid w:val="00DC2D3A"/>
    <w:rsid w:val="00DC4184"/>
    <w:rsid w:val="00DC705F"/>
    <w:rsid w:val="00DD1084"/>
    <w:rsid w:val="00DD2212"/>
    <w:rsid w:val="00DD3689"/>
    <w:rsid w:val="00DE2EE2"/>
    <w:rsid w:val="00DE3BC4"/>
    <w:rsid w:val="00DE48A5"/>
    <w:rsid w:val="00DE6B25"/>
    <w:rsid w:val="00DE78DB"/>
    <w:rsid w:val="00DF12C1"/>
    <w:rsid w:val="00DF30F7"/>
    <w:rsid w:val="00DF3495"/>
    <w:rsid w:val="00DF4036"/>
    <w:rsid w:val="00DF7CD7"/>
    <w:rsid w:val="00E02E79"/>
    <w:rsid w:val="00E04DAF"/>
    <w:rsid w:val="00E0523C"/>
    <w:rsid w:val="00E07866"/>
    <w:rsid w:val="00E10E7C"/>
    <w:rsid w:val="00E1698D"/>
    <w:rsid w:val="00E22A04"/>
    <w:rsid w:val="00E249F1"/>
    <w:rsid w:val="00E36C98"/>
    <w:rsid w:val="00E4140E"/>
    <w:rsid w:val="00E44A34"/>
    <w:rsid w:val="00E4599E"/>
    <w:rsid w:val="00E53977"/>
    <w:rsid w:val="00E541AE"/>
    <w:rsid w:val="00E554BD"/>
    <w:rsid w:val="00E60C47"/>
    <w:rsid w:val="00E628EE"/>
    <w:rsid w:val="00E664BD"/>
    <w:rsid w:val="00E6770B"/>
    <w:rsid w:val="00E85380"/>
    <w:rsid w:val="00E92BF6"/>
    <w:rsid w:val="00E94C7D"/>
    <w:rsid w:val="00E96922"/>
    <w:rsid w:val="00EA23F4"/>
    <w:rsid w:val="00EA516F"/>
    <w:rsid w:val="00EA689F"/>
    <w:rsid w:val="00EA735D"/>
    <w:rsid w:val="00EA7B04"/>
    <w:rsid w:val="00EB079F"/>
    <w:rsid w:val="00EB1478"/>
    <w:rsid w:val="00EB5EAE"/>
    <w:rsid w:val="00EB7B7A"/>
    <w:rsid w:val="00EC1183"/>
    <w:rsid w:val="00EC41E2"/>
    <w:rsid w:val="00ED1714"/>
    <w:rsid w:val="00ED2FDE"/>
    <w:rsid w:val="00ED3274"/>
    <w:rsid w:val="00EE0BC2"/>
    <w:rsid w:val="00EE1332"/>
    <w:rsid w:val="00EE3D03"/>
    <w:rsid w:val="00EE70D2"/>
    <w:rsid w:val="00EF2F6C"/>
    <w:rsid w:val="00EF3CB7"/>
    <w:rsid w:val="00EF7936"/>
    <w:rsid w:val="00F04BD6"/>
    <w:rsid w:val="00F06449"/>
    <w:rsid w:val="00F10928"/>
    <w:rsid w:val="00F14637"/>
    <w:rsid w:val="00F1481E"/>
    <w:rsid w:val="00F16A46"/>
    <w:rsid w:val="00F16DF3"/>
    <w:rsid w:val="00F17669"/>
    <w:rsid w:val="00F22983"/>
    <w:rsid w:val="00F22E7A"/>
    <w:rsid w:val="00F26A6C"/>
    <w:rsid w:val="00F27FD8"/>
    <w:rsid w:val="00F31471"/>
    <w:rsid w:val="00F32F98"/>
    <w:rsid w:val="00F340B7"/>
    <w:rsid w:val="00F34251"/>
    <w:rsid w:val="00F37077"/>
    <w:rsid w:val="00F41325"/>
    <w:rsid w:val="00F42E03"/>
    <w:rsid w:val="00F43642"/>
    <w:rsid w:val="00F47645"/>
    <w:rsid w:val="00F47936"/>
    <w:rsid w:val="00F50C1E"/>
    <w:rsid w:val="00F558DA"/>
    <w:rsid w:val="00F64DEA"/>
    <w:rsid w:val="00F65D98"/>
    <w:rsid w:val="00F65E14"/>
    <w:rsid w:val="00F66939"/>
    <w:rsid w:val="00F66FD0"/>
    <w:rsid w:val="00F672F4"/>
    <w:rsid w:val="00F72C95"/>
    <w:rsid w:val="00F743BB"/>
    <w:rsid w:val="00F74A87"/>
    <w:rsid w:val="00F74F67"/>
    <w:rsid w:val="00F75709"/>
    <w:rsid w:val="00F7664C"/>
    <w:rsid w:val="00F769C4"/>
    <w:rsid w:val="00F83B93"/>
    <w:rsid w:val="00F83BF4"/>
    <w:rsid w:val="00F8652A"/>
    <w:rsid w:val="00F8656B"/>
    <w:rsid w:val="00F87F0A"/>
    <w:rsid w:val="00F908F0"/>
    <w:rsid w:val="00F90D34"/>
    <w:rsid w:val="00F92AB3"/>
    <w:rsid w:val="00F962A5"/>
    <w:rsid w:val="00FA0C92"/>
    <w:rsid w:val="00FA3477"/>
    <w:rsid w:val="00FA404F"/>
    <w:rsid w:val="00FA5185"/>
    <w:rsid w:val="00FA7AA4"/>
    <w:rsid w:val="00FB02E5"/>
    <w:rsid w:val="00FB5C48"/>
    <w:rsid w:val="00FC449C"/>
    <w:rsid w:val="00FC50F1"/>
    <w:rsid w:val="00FD2CB6"/>
    <w:rsid w:val="00FD7674"/>
    <w:rsid w:val="00FE283E"/>
    <w:rsid w:val="00FE71B7"/>
    <w:rsid w:val="00FF43AD"/>
    <w:rsid w:val="00FF52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B6922A0"/>
  <w15:docId w15:val="{62748E01-26D3-4A52-94AD-1DC50114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Cambria"/>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77F5"/>
    <w:pPr>
      <w:spacing w:after="160" w:line="276" w:lineRule="auto"/>
    </w:pPr>
    <w:rPr>
      <w:rFonts w:eastAsia="SimSun" w:cs="Times New Roman"/>
      <w:sz w:val="24"/>
      <w:szCs w:val="24"/>
      <w:lang w:val="en-GB"/>
    </w:rPr>
  </w:style>
  <w:style w:type="paragraph" w:styleId="Heading1">
    <w:name w:val="heading 1"/>
    <w:basedOn w:val="Normal"/>
    <w:next w:val="Normal"/>
    <w:link w:val="Heading1Char"/>
    <w:qFormat/>
    <w:rsid w:val="00ED1714"/>
    <w:pPr>
      <w:keepNext/>
      <w:keepLines/>
      <w:numPr>
        <w:numId w:val="7"/>
      </w:numPr>
      <w:spacing w:before="240" w:line="259" w:lineRule="auto"/>
      <w:ind w:left="720" w:hanging="720"/>
      <w:outlineLvl w:val="0"/>
    </w:pPr>
    <w:rPr>
      <w:rFonts w:eastAsia="DengXian Light"/>
      <w:color w:val="2F5496"/>
      <w:sz w:val="28"/>
      <w:szCs w:val="28"/>
      <w:lang w:eastAsia="zh-CN"/>
    </w:rPr>
  </w:style>
  <w:style w:type="paragraph" w:styleId="Heading2">
    <w:name w:val="heading 2"/>
    <w:basedOn w:val="Normal"/>
    <w:next w:val="Normal"/>
    <w:link w:val="Heading2Char"/>
    <w:unhideWhenUsed/>
    <w:qFormat/>
    <w:rsid w:val="00723413"/>
    <w:pPr>
      <w:keepNext/>
      <w:keepLines/>
      <w:numPr>
        <w:ilvl w:val="1"/>
        <w:numId w:val="7"/>
      </w:numPr>
      <w:spacing w:before="240" w:line="259" w:lineRule="auto"/>
      <w:ind w:left="720" w:hanging="720"/>
      <w:outlineLvl w:val="1"/>
    </w:pPr>
    <w:rPr>
      <w:rFonts w:eastAsia="DengXian Light"/>
      <w:color w:val="2F5496"/>
      <w:sz w:val="26"/>
      <w:szCs w:val="26"/>
      <w:lang w:eastAsia="zh-CN"/>
    </w:rPr>
  </w:style>
  <w:style w:type="paragraph" w:styleId="Heading3">
    <w:name w:val="heading 3"/>
    <w:basedOn w:val="Normal"/>
    <w:next w:val="Normal"/>
    <w:link w:val="Heading3Char"/>
    <w:unhideWhenUsed/>
    <w:qFormat/>
    <w:rsid w:val="00364053"/>
    <w:pPr>
      <w:keepNext/>
      <w:keepLines/>
      <w:numPr>
        <w:ilvl w:val="2"/>
        <w:numId w:val="7"/>
      </w:numPr>
      <w:spacing w:before="240" w:line="259" w:lineRule="auto"/>
      <w:outlineLvl w:val="2"/>
    </w:pPr>
    <w:rPr>
      <w:rFonts w:eastAsiaTheme="majorEastAsia" w:cstheme="majorBidi"/>
      <w:color w:val="2E74B5" w:themeColor="accent5" w:themeShade="BF"/>
      <w:lang w:eastAsia="zh-CN"/>
    </w:rPr>
  </w:style>
  <w:style w:type="paragraph" w:styleId="Heading4">
    <w:name w:val="heading 4"/>
    <w:basedOn w:val="Normal"/>
    <w:next w:val="Normal"/>
    <w:link w:val="Heading4Char"/>
    <w:unhideWhenUsed/>
    <w:qFormat/>
    <w:rsid w:val="00375A5D"/>
    <w:pPr>
      <w:keepNext/>
      <w:keepLines/>
      <w:spacing w:before="120" w:line="259" w:lineRule="auto"/>
      <w:outlineLvl w:val="3"/>
    </w:pPr>
    <w:rPr>
      <w:rFonts w:eastAsia="DengXian Light"/>
      <w:b/>
      <w:iCs/>
      <w:lang w:eastAsia="zh-CN"/>
    </w:rPr>
  </w:style>
  <w:style w:type="paragraph" w:styleId="Heading5">
    <w:name w:val="heading 5"/>
    <w:basedOn w:val="Normal"/>
    <w:next w:val="Normal"/>
    <w:link w:val="Heading5Char"/>
    <w:unhideWhenUsed/>
    <w:rsid w:val="009A4F10"/>
    <w:pPr>
      <w:keepNext/>
      <w:keepLines/>
      <w:numPr>
        <w:ilvl w:val="4"/>
        <w:numId w:val="7"/>
      </w:numPr>
      <w:spacing w:before="120" w:after="80"/>
      <w:outlineLvl w:val="4"/>
    </w:pPr>
    <w:rPr>
      <w:rFonts w:ascii="Calibri Light" w:eastAsia="MS Gothic" w:hAnsi="Calibri Light"/>
      <w:color w:val="1F4D78"/>
      <w:sz w:val="26"/>
      <w:szCs w:val="26"/>
      <w:lang w:bidi="th-TH"/>
    </w:rPr>
  </w:style>
  <w:style w:type="paragraph" w:styleId="Heading6">
    <w:name w:val="heading 6"/>
    <w:basedOn w:val="Normal"/>
    <w:next w:val="Normal"/>
    <w:link w:val="Heading6Char"/>
    <w:unhideWhenUsed/>
    <w:qFormat/>
    <w:rsid w:val="000056BB"/>
    <w:pPr>
      <w:keepNext/>
      <w:keepLines/>
      <w:spacing w:before="200"/>
      <w:outlineLvl w:val="5"/>
    </w:pPr>
    <w:rPr>
      <w:rFonts w:ascii="Calibri Light" w:eastAsia="MS Gothic" w:hAnsi="Calibri Light"/>
      <w:i/>
      <w:iCs/>
      <w:color w:val="1F4D78"/>
    </w:rPr>
  </w:style>
  <w:style w:type="paragraph" w:styleId="Heading7">
    <w:name w:val="heading 7"/>
    <w:basedOn w:val="Normal"/>
    <w:next w:val="Normal"/>
    <w:link w:val="Heading7Char"/>
    <w:semiHidden/>
    <w:unhideWhenUsed/>
    <w:rsid w:val="00DE6B25"/>
    <w:pPr>
      <w:keepNext/>
      <w:keepLines/>
      <w:numPr>
        <w:ilvl w:val="6"/>
        <w:numId w:val="7"/>
      </w:numPr>
      <w:spacing w:before="200"/>
      <w:outlineLvl w:val="6"/>
    </w:pPr>
    <w:rPr>
      <w:rFonts w:ascii="Calibri Light" w:eastAsia="MS Gothic" w:hAnsi="Calibri Light"/>
      <w:i/>
      <w:iCs/>
      <w:color w:val="404040"/>
    </w:rPr>
  </w:style>
  <w:style w:type="paragraph" w:styleId="Heading8">
    <w:name w:val="heading 8"/>
    <w:basedOn w:val="Normal"/>
    <w:next w:val="Normal"/>
    <w:link w:val="Heading8Char"/>
    <w:semiHidden/>
    <w:unhideWhenUsed/>
    <w:qFormat/>
    <w:rsid w:val="00DE6B25"/>
    <w:pPr>
      <w:keepNext/>
      <w:keepLines/>
      <w:numPr>
        <w:ilvl w:val="7"/>
        <w:numId w:val="7"/>
      </w:numPr>
      <w:spacing w:before="200"/>
      <w:outlineLvl w:val="7"/>
    </w:pPr>
    <w:rPr>
      <w:rFonts w:ascii="Calibri Light" w:eastAsia="MS Gothic" w:hAnsi="Calibri Light"/>
      <w:color w:val="404040"/>
      <w:sz w:val="20"/>
      <w:szCs w:val="20"/>
    </w:rPr>
  </w:style>
  <w:style w:type="paragraph" w:styleId="Heading9">
    <w:name w:val="heading 9"/>
    <w:basedOn w:val="Normal"/>
    <w:next w:val="Normal"/>
    <w:link w:val="Heading9Char"/>
    <w:semiHidden/>
    <w:unhideWhenUsed/>
    <w:qFormat/>
    <w:rsid w:val="00DE6B25"/>
    <w:pPr>
      <w:keepNext/>
      <w:keepLines/>
      <w:numPr>
        <w:ilvl w:val="8"/>
        <w:numId w:val="7"/>
      </w:numPr>
      <w:spacing w:before="200"/>
      <w:outlineLvl w:val="8"/>
    </w:pPr>
    <w:rPr>
      <w:rFonts w:ascii="Calibri Light" w:eastAsia="MS Gothic"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C4DF3"/>
    <w:pPr>
      <w:spacing w:after="0" w:line="240" w:lineRule="auto"/>
      <w:contextualSpacing/>
    </w:pPr>
    <w:rPr>
      <w:rFonts w:eastAsia="Times New Roman"/>
      <w:color w:val="17365D"/>
      <w:spacing w:val="5"/>
      <w:kern w:val="28"/>
      <w:sz w:val="52"/>
      <w:szCs w:val="52"/>
    </w:rPr>
  </w:style>
  <w:style w:type="paragraph" w:styleId="Subtitle">
    <w:name w:val="Subtitle"/>
    <w:basedOn w:val="Normal"/>
    <w:next w:val="Normal"/>
    <w:link w:val="SubtitleChar"/>
    <w:rsid w:val="002C4DF3"/>
    <w:pPr>
      <w:keepNext/>
      <w:keepLines/>
      <w:pBdr>
        <w:top w:val="nil"/>
        <w:left w:val="nil"/>
        <w:bottom w:val="nil"/>
        <w:right w:val="nil"/>
        <w:between w:val="nil"/>
      </w:pBdr>
      <w:spacing w:after="320"/>
    </w:pPr>
    <w:rPr>
      <w:rFonts w:ascii="Arial" w:eastAsia="Arial" w:hAnsi="Arial"/>
      <w:color w:val="666666"/>
      <w:sz w:val="30"/>
      <w:szCs w:val="30"/>
      <w:lang w:eastAsia="zh-CN"/>
    </w:rPr>
  </w:style>
  <w:style w:type="table" w:customStyle="1" w:styleId="1">
    <w:name w:val="1"/>
    <w:basedOn w:val="TableNormal"/>
    <w:rsid w:val="00350B00"/>
    <w:tblPr>
      <w:tblStyleRowBandSize w:val="1"/>
      <w:tblStyleColBandSize w:val="1"/>
    </w:tblPr>
  </w:style>
  <w:style w:type="paragraph" w:styleId="CommentText">
    <w:name w:val="annotation text"/>
    <w:basedOn w:val="Normal"/>
    <w:link w:val="CommentTextChar"/>
    <w:unhideWhenUsed/>
    <w:rsid w:val="002C4DF3"/>
  </w:style>
  <w:style w:type="character" w:customStyle="1" w:styleId="CommentTextChar">
    <w:name w:val="Comment Text Char"/>
    <w:link w:val="CommentText"/>
    <w:rsid w:val="00350B00"/>
    <w:rPr>
      <w:rFonts w:eastAsia="SimSun" w:cs="Times New Roman"/>
      <w:sz w:val="24"/>
      <w:szCs w:val="24"/>
      <w:lang w:val="en-GB"/>
    </w:rPr>
  </w:style>
  <w:style w:type="character" w:styleId="CommentReference">
    <w:name w:val="annotation reference"/>
    <w:semiHidden/>
    <w:unhideWhenUsed/>
    <w:rsid w:val="002C4DF3"/>
    <w:rPr>
      <w:sz w:val="18"/>
      <w:szCs w:val="18"/>
    </w:rPr>
  </w:style>
  <w:style w:type="paragraph" w:styleId="BalloonText">
    <w:name w:val="Balloon Text"/>
    <w:basedOn w:val="Normal"/>
    <w:link w:val="BalloonTextChar"/>
    <w:semiHidden/>
    <w:unhideWhenUsed/>
    <w:rsid w:val="002C4DF3"/>
    <w:rPr>
      <w:rFonts w:ascii="Tahoma" w:hAnsi="Tahoma"/>
      <w:sz w:val="16"/>
      <w:szCs w:val="16"/>
    </w:rPr>
  </w:style>
  <w:style w:type="character" w:customStyle="1" w:styleId="BalloonTextChar">
    <w:name w:val="Balloon Text Char"/>
    <w:link w:val="BalloonText"/>
    <w:semiHidden/>
    <w:rsid w:val="007C2AE6"/>
    <w:rPr>
      <w:rFonts w:ascii="Tahoma" w:eastAsia="SimSun" w:hAnsi="Tahoma" w:cs="Times New Roman"/>
      <w:sz w:val="16"/>
      <w:szCs w:val="16"/>
      <w:lang w:val="en-GB"/>
    </w:rPr>
  </w:style>
  <w:style w:type="character" w:customStyle="1" w:styleId="Heading7Char">
    <w:name w:val="Heading 7 Char"/>
    <w:link w:val="Heading7"/>
    <w:semiHidden/>
    <w:rsid w:val="00355DBD"/>
    <w:rPr>
      <w:rFonts w:ascii="Calibri Light" w:eastAsia="MS Gothic" w:hAnsi="Calibri Light" w:cs="Times New Roman"/>
      <w:i/>
      <w:iCs/>
      <w:color w:val="404040"/>
      <w:sz w:val="24"/>
      <w:szCs w:val="24"/>
      <w:lang w:val="en-GB"/>
    </w:rPr>
  </w:style>
  <w:style w:type="character" w:customStyle="1" w:styleId="Heading8Char">
    <w:name w:val="Heading 8 Char"/>
    <w:link w:val="Heading8"/>
    <w:semiHidden/>
    <w:rsid w:val="00355DBD"/>
    <w:rPr>
      <w:rFonts w:ascii="Calibri Light" w:eastAsia="MS Gothic" w:hAnsi="Calibri Light" w:cs="Times New Roman"/>
      <w:color w:val="404040"/>
      <w:lang w:val="en-GB"/>
    </w:rPr>
  </w:style>
  <w:style w:type="character" w:customStyle="1" w:styleId="Heading9Char">
    <w:name w:val="Heading 9 Char"/>
    <w:link w:val="Heading9"/>
    <w:semiHidden/>
    <w:rsid w:val="00355DBD"/>
    <w:rPr>
      <w:rFonts w:ascii="Calibri Light" w:eastAsia="MS Gothic" w:hAnsi="Calibri Light" w:cs="Times New Roman"/>
      <w:i/>
      <w:iCs/>
      <w:color w:val="404040"/>
      <w:lang w:val="en-GB"/>
    </w:rPr>
  </w:style>
  <w:style w:type="character" w:customStyle="1" w:styleId="Heading2Char">
    <w:name w:val="Heading 2 Char"/>
    <w:link w:val="Heading2"/>
    <w:rsid w:val="00723413"/>
    <w:rPr>
      <w:rFonts w:eastAsia="DengXian Light" w:cs="Times New Roman"/>
      <w:color w:val="2F5496"/>
      <w:sz w:val="26"/>
      <w:szCs w:val="26"/>
      <w:lang w:val="en-GB" w:eastAsia="zh-CN"/>
    </w:rPr>
  </w:style>
  <w:style w:type="character" w:customStyle="1" w:styleId="Heading3Char">
    <w:name w:val="Heading 3 Char"/>
    <w:link w:val="Heading3"/>
    <w:rsid w:val="00364053"/>
    <w:rPr>
      <w:rFonts w:eastAsiaTheme="majorEastAsia" w:cstheme="majorBidi"/>
      <w:color w:val="2E74B5" w:themeColor="accent5" w:themeShade="BF"/>
      <w:sz w:val="24"/>
      <w:szCs w:val="24"/>
      <w:lang w:val="en-GB" w:eastAsia="zh-CN"/>
    </w:rPr>
  </w:style>
  <w:style w:type="character" w:customStyle="1" w:styleId="Heading4Char">
    <w:name w:val="Heading 4 Char"/>
    <w:link w:val="Heading4"/>
    <w:rsid w:val="00375A5D"/>
    <w:rPr>
      <w:rFonts w:eastAsia="DengXian Light" w:cs="Times New Roman"/>
      <w:b/>
      <w:iCs/>
      <w:sz w:val="24"/>
      <w:szCs w:val="24"/>
      <w:lang w:val="en-GB" w:eastAsia="zh-CN"/>
    </w:rPr>
  </w:style>
  <w:style w:type="paragraph" w:customStyle="1" w:styleId="Heading11">
    <w:name w:val="Heading 11"/>
    <w:basedOn w:val="Normal"/>
    <w:next w:val="Normal"/>
    <w:qFormat/>
    <w:rsid w:val="002C4DF3"/>
    <w:pPr>
      <w:keepNext/>
      <w:keepLines/>
      <w:spacing w:before="480"/>
      <w:ind w:left="432" w:hanging="432"/>
      <w:outlineLvl w:val="0"/>
    </w:pPr>
    <w:rPr>
      <w:b/>
      <w:bCs/>
      <w:color w:val="365F91"/>
      <w:sz w:val="28"/>
      <w:szCs w:val="28"/>
    </w:rPr>
  </w:style>
  <w:style w:type="paragraph" w:customStyle="1" w:styleId="Heading51">
    <w:name w:val="Heading 51"/>
    <w:basedOn w:val="Normal"/>
    <w:next w:val="Normal"/>
    <w:unhideWhenUsed/>
    <w:qFormat/>
    <w:rsid w:val="002C4DF3"/>
    <w:pPr>
      <w:keepNext/>
      <w:keepLines/>
      <w:spacing w:before="200"/>
      <w:ind w:left="1008" w:hanging="1008"/>
      <w:outlineLvl w:val="4"/>
    </w:pPr>
    <w:rPr>
      <w:b/>
      <w:color w:val="243F60"/>
      <w:sz w:val="26"/>
      <w:szCs w:val="26"/>
      <w:lang w:bidi="th-TH"/>
    </w:rPr>
  </w:style>
  <w:style w:type="paragraph" w:customStyle="1" w:styleId="Heading61">
    <w:name w:val="Heading 61"/>
    <w:basedOn w:val="Normal"/>
    <w:next w:val="Normal"/>
    <w:unhideWhenUsed/>
    <w:rsid w:val="002C4DF3"/>
    <w:pPr>
      <w:keepNext/>
      <w:keepLines/>
      <w:spacing w:before="200"/>
      <w:ind w:left="1152" w:hanging="1152"/>
      <w:outlineLvl w:val="5"/>
    </w:pPr>
    <w:rPr>
      <w:i/>
      <w:iCs/>
      <w:color w:val="243F60"/>
    </w:rPr>
  </w:style>
  <w:style w:type="paragraph" w:customStyle="1" w:styleId="Heading71">
    <w:name w:val="Heading 71"/>
    <w:basedOn w:val="Normal"/>
    <w:next w:val="Normal"/>
    <w:semiHidden/>
    <w:unhideWhenUsed/>
    <w:qFormat/>
    <w:rsid w:val="002C4DF3"/>
    <w:pPr>
      <w:keepNext/>
      <w:keepLines/>
      <w:spacing w:before="200"/>
      <w:ind w:left="1296" w:hanging="1296"/>
      <w:outlineLvl w:val="6"/>
    </w:pPr>
    <w:rPr>
      <w:i/>
      <w:iCs/>
      <w:color w:val="404040"/>
    </w:rPr>
  </w:style>
  <w:style w:type="paragraph" w:customStyle="1" w:styleId="Heading81">
    <w:name w:val="Heading 81"/>
    <w:basedOn w:val="Normal"/>
    <w:next w:val="Normal"/>
    <w:semiHidden/>
    <w:unhideWhenUsed/>
    <w:qFormat/>
    <w:rsid w:val="002C4DF3"/>
    <w:pPr>
      <w:keepNext/>
      <w:keepLines/>
      <w:spacing w:before="200"/>
      <w:ind w:left="1440" w:hanging="1440"/>
      <w:outlineLvl w:val="7"/>
    </w:pPr>
    <w:rPr>
      <w:color w:val="404040"/>
      <w:sz w:val="20"/>
      <w:szCs w:val="20"/>
    </w:rPr>
  </w:style>
  <w:style w:type="paragraph" w:customStyle="1" w:styleId="Heading91">
    <w:name w:val="Heading 91"/>
    <w:basedOn w:val="Normal"/>
    <w:next w:val="Normal"/>
    <w:semiHidden/>
    <w:unhideWhenUsed/>
    <w:qFormat/>
    <w:rsid w:val="002C4DF3"/>
    <w:pPr>
      <w:keepNext/>
      <w:keepLines/>
      <w:spacing w:before="200"/>
      <w:ind w:left="1584" w:hanging="1584"/>
      <w:outlineLvl w:val="8"/>
    </w:pPr>
    <w:rPr>
      <w:i/>
      <w:iCs/>
      <w:color w:val="404040"/>
      <w:sz w:val="20"/>
      <w:szCs w:val="20"/>
    </w:rPr>
  </w:style>
  <w:style w:type="numbering" w:customStyle="1" w:styleId="NoList1">
    <w:name w:val="No List1"/>
    <w:next w:val="NoList"/>
    <w:uiPriority w:val="99"/>
    <w:semiHidden/>
    <w:unhideWhenUsed/>
    <w:rsid w:val="00355DBD"/>
  </w:style>
  <w:style w:type="character" w:customStyle="1" w:styleId="Heading1Char">
    <w:name w:val="Heading 1 Char"/>
    <w:link w:val="Heading1"/>
    <w:rsid w:val="00ED1714"/>
    <w:rPr>
      <w:rFonts w:eastAsia="DengXian Light" w:cs="Times New Roman"/>
      <w:color w:val="2F5496"/>
      <w:sz w:val="28"/>
      <w:szCs w:val="28"/>
      <w:lang w:val="en-GB" w:eastAsia="zh-CN"/>
    </w:rPr>
  </w:style>
  <w:style w:type="paragraph" w:styleId="ListParagraph">
    <w:name w:val="List Paragraph"/>
    <w:aliases w:val="List Paragraph1"/>
    <w:basedOn w:val="Normal"/>
    <w:link w:val="ListParagraphChar"/>
    <w:qFormat/>
    <w:rsid w:val="002C4DF3"/>
    <w:pPr>
      <w:ind w:left="720"/>
    </w:pPr>
  </w:style>
  <w:style w:type="character" w:customStyle="1" w:styleId="ListParagraphChar">
    <w:name w:val="List Paragraph Char"/>
    <w:aliases w:val="List Paragraph1 Char"/>
    <w:link w:val="ListParagraph"/>
    <w:rsid w:val="00355DBD"/>
    <w:rPr>
      <w:rFonts w:eastAsia="SimSun" w:cs="Times New Roman"/>
      <w:sz w:val="24"/>
      <w:szCs w:val="24"/>
      <w:lang w:val="en-GB"/>
    </w:rPr>
  </w:style>
  <w:style w:type="character" w:customStyle="1" w:styleId="Heading5Char">
    <w:name w:val="Heading 5 Char"/>
    <w:link w:val="Heading5"/>
    <w:rsid w:val="00355DBD"/>
    <w:rPr>
      <w:rFonts w:ascii="Calibri Light" w:eastAsia="MS Gothic" w:hAnsi="Calibri Light" w:cs="Times New Roman"/>
      <w:color w:val="1F4D78"/>
      <w:sz w:val="26"/>
      <w:szCs w:val="26"/>
      <w:lang w:val="en-GB" w:bidi="th-TH"/>
    </w:rPr>
  </w:style>
  <w:style w:type="character" w:customStyle="1" w:styleId="Heading6Char">
    <w:name w:val="Heading 6 Char"/>
    <w:link w:val="Heading6"/>
    <w:rsid w:val="000056BB"/>
    <w:rPr>
      <w:rFonts w:ascii="Calibri Light" w:eastAsia="MS Gothic" w:hAnsi="Calibri Light" w:cs="Times New Roman"/>
      <w:i/>
      <w:iCs/>
      <w:color w:val="1F4D78"/>
      <w:sz w:val="24"/>
      <w:szCs w:val="24"/>
      <w:lang w:val="en-GB"/>
    </w:rPr>
  </w:style>
  <w:style w:type="character" w:customStyle="1" w:styleId="Hyperlink1">
    <w:name w:val="Hyperlink1"/>
    <w:unhideWhenUsed/>
    <w:rsid w:val="00355DBD"/>
    <w:rPr>
      <w:color w:val="0000FF"/>
      <w:u w:val="single"/>
    </w:rPr>
  </w:style>
  <w:style w:type="character" w:styleId="FootnoteReference">
    <w:name w:val="footnote reference"/>
    <w:unhideWhenUsed/>
    <w:rsid w:val="00355DBD"/>
    <w:rPr>
      <w:vertAlign w:val="superscript"/>
    </w:rPr>
  </w:style>
  <w:style w:type="paragraph" w:styleId="FootnoteText">
    <w:name w:val="footnote text"/>
    <w:basedOn w:val="Normal"/>
    <w:link w:val="FootnoteTextChar"/>
    <w:unhideWhenUsed/>
    <w:rsid w:val="00355DBD"/>
    <w:rPr>
      <w:rFonts w:ascii="Calibri Light" w:hAnsi="Calibri Light"/>
      <w:sz w:val="20"/>
      <w:szCs w:val="20"/>
    </w:rPr>
  </w:style>
  <w:style w:type="character" w:customStyle="1" w:styleId="FootnoteTextChar">
    <w:name w:val="Footnote Text Char"/>
    <w:link w:val="FootnoteText"/>
    <w:rsid w:val="00355DBD"/>
    <w:rPr>
      <w:rFonts w:ascii="Calibri Light" w:eastAsia="SimSun" w:hAnsi="Calibri Light" w:cs="Times New Roman"/>
      <w:sz w:val="20"/>
      <w:szCs w:val="20"/>
    </w:rPr>
  </w:style>
  <w:style w:type="paragraph" w:customStyle="1" w:styleId="Title1">
    <w:name w:val="Title1"/>
    <w:basedOn w:val="Normal"/>
    <w:next w:val="Normal"/>
    <w:qFormat/>
    <w:rsid w:val="00355DBD"/>
    <w:pPr>
      <w:pBdr>
        <w:bottom w:val="single" w:sz="8" w:space="4" w:color="4F81BD"/>
      </w:pBdr>
      <w:spacing w:after="300"/>
    </w:pPr>
    <w:rPr>
      <w:rFonts w:eastAsia="Times New Roman"/>
      <w:color w:val="17365D"/>
      <w:spacing w:val="5"/>
      <w:kern w:val="28"/>
      <w:sz w:val="52"/>
      <w:szCs w:val="52"/>
    </w:rPr>
  </w:style>
  <w:style w:type="character" w:customStyle="1" w:styleId="TitleChar">
    <w:name w:val="Title Char"/>
    <w:link w:val="Title"/>
    <w:rsid w:val="00355DBD"/>
    <w:rPr>
      <w:rFonts w:eastAsia="Times New Roman" w:cs="Times New Roman"/>
      <w:color w:val="17365D"/>
      <w:spacing w:val="5"/>
      <w:kern w:val="28"/>
      <w:sz w:val="52"/>
      <w:szCs w:val="52"/>
    </w:rPr>
  </w:style>
  <w:style w:type="paragraph" w:customStyle="1" w:styleId="Caption1">
    <w:name w:val="Caption1"/>
    <w:basedOn w:val="Normal"/>
    <w:next w:val="Normal"/>
    <w:unhideWhenUsed/>
    <w:rsid w:val="00A565D4"/>
    <w:rPr>
      <w:bCs/>
      <w:color w:val="4F81BD"/>
      <w:sz w:val="22"/>
      <w:szCs w:val="22"/>
    </w:rPr>
  </w:style>
  <w:style w:type="table" w:customStyle="1" w:styleId="MediumShading1-Accent11">
    <w:name w:val="Medium Shading 1 - Accent 11"/>
    <w:basedOn w:val="TableNormal"/>
    <w:next w:val="41"/>
    <w:uiPriority w:val="63"/>
    <w:rsid w:val="00355DBD"/>
    <w:rPr>
      <w:rFonts w:ascii="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1Char1">
    <w:name w:val="Heading 1 Char1"/>
    <w:rsid w:val="00355DBD"/>
    <w:rPr>
      <w:rFonts w:ascii="Calibri Light" w:eastAsia="MS Gothic" w:hAnsi="Calibri Light" w:cs="Times New Roman"/>
      <w:color w:val="2E74B5"/>
      <w:sz w:val="32"/>
      <w:szCs w:val="32"/>
    </w:rPr>
  </w:style>
  <w:style w:type="paragraph" w:styleId="TOCHeading">
    <w:name w:val="TOC Heading"/>
    <w:basedOn w:val="Heading1"/>
    <w:next w:val="Normal"/>
    <w:unhideWhenUsed/>
    <w:qFormat/>
    <w:rsid w:val="002C4DF3"/>
    <w:pPr>
      <w:spacing w:line="276" w:lineRule="auto"/>
      <w:outlineLvl w:val="9"/>
    </w:pPr>
    <w:rPr>
      <w:b/>
      <w:bCs/>
      <w:lang w:eastAsia="ja-JP"/>
    </w:rPr>
  </w:style>
  <w:style w:type="paragraph" w:styleId="TOC1">
    <w:name w:val="toc 1"/>
    <w:basedOn w:val="Normal"/>
    <w:next w:val="Normal"/>
    <w:autoRedefine/>
    <w:unhideWhenUsed/>
    <w:rsid w:val="00273BBD"/>
    <w:pPr>
      <w:tabs>
        <w:tab w:val="left" w:pos="480"/>
        <w:tab w:val="right" w:leader="dot" w:pos="9017"/>
      </w:tabs>
      <w:spacing w:after="240" w:line="240" w:lineRule="auto"/>
    </w:pPr>
  </w:style>
  <w:style w:type="paragraph" w:styleId="TOC2">
    <w:name w:val="toc 2"/>
    <w:basedOn w:val="Normal"/>
    <w:next w:val="Normal"/>
    <w:autoRedefine/>
    <w:unhideWhenUsed/>
    <w:rsid w:val="00B81F50"/>
    <w:pPr>
      <w:tabs>
        <w:tab w:val="left" w:pos="1100"/>
        <w:tab w:val="right" w:leader="dot" w:pos="9017"/>
      </w:tabs>
      <w:spacing w:after="100" w:line="240" w:lineRule="auto"/>
      <w:ind w:left="240"/>
    </w:pPr>
  </w:style>
  <w:style w:type="paragraph" w:styleId="TableofFigures">
    <w:name w:val="table of figures"/>
    <w:basedOn w:val="Normal"/>
    <w:next w:val="Normal"/>
    <w:unhideWhenUsed/>
    <w:rsid w:val="002C4DF3"/>
  </w:style>
  <w:style w:type="paragraph" w:styleId="NormalWeb">
    <w:name w:val="Normal (Web)"/>
    <w:basedOn w:val="Normal"/>
    <w:unhideWhenUsed/>
    <w:rsid w:val="00355DBD"/>
    <w:pPr>
      <w:spacing w:before="100" w:beforeAutospacing="1" w:after="100" w:afterAutospacing="1"/>
    </w:pPr>
    <w:rPr>
      <w:rFonts w:eastAsia="Times New Roman"/>
      <w:lang w:val="de-DE" w:eastAsia="de-DE"/>
    </w:rPr>
  </w:style>
  <w:style w:type="character" w:customStyle="1" w:styleId="apple-converted-space">
    <w:name w:val="apple-converted-space"/>
    <w:rsid w:val="00355DBD"/>
  </w:style>
  <w:style w:type="paragraph" w:styleId="CommentSubject">
    <w:name w:val="annotation subject"/>
    <w:basedOn w:val="CommentText"/>
    <w:next w:val="CommentText"/>
    <w:link w:val="CommentSubjectChar"/>
    <w:semiHidden/>
    <w:unhideWhenUsed/>
    <w:rsid w:val="002C4DF3"/>
    <w:rPr>
      <w:b/>
      <w:bCs/>
      <w:sz w:val="20"/>
      <w:szCs w:val="20"/>
    </w:rPr>
  </w:style>
  <w:style w:type="character" w:customStyle="1" w:styleId="CommentSubjectChar">
    <w:name w:val="Comment Subject Char"/>
    <w:link w:val="CommentSubject"/>
    <w:semiHidden/>
    <w:rsid w:val="00355DBD"/>
    <w:rPr>
      <w:rFonts w:eastAsia="SimSun" w:cs="Times New Roman"/>
      <w:b/>
      <w:bCs/>
      <w:lang w:val="en-GB"/>
    </w:rPr>
  </w:style>
  <w:style w:type="character" w:styleId="Emphasis">
    <w:name w:val="Emphasis"/>
    <w:rsid w:val="00355DBD"/>
    <w:rPr>
      <w:i/>
      <w:iCs/>
    </w:rPr>
  </w:style>
  <w:style w:type="paragraph" w:styleId="Header">
    <w:name w:val="header"/>
    <w:basedOn w:val="Normal"/>
    <w:link w:val="HeaderChar"/>
    <w:unhideWhenUsed/>
    <w:rsid w:val="002C4DF3"/>
    <w:pPr>
      <w:tabs>
        <w:tab w:val="center" w:pos="4513"/>
        <w:tab w:val="right" w:pos="9026"/>
      </w:tabs>
    </w:pPr>
  </w:style>
  <w:style w:type="character" w:customStyle="1" w:styleId="HeaderChar">
    <w:name w:val="Header Char"/>
    <w:link w:val="Header"/>
    <w:rsid w:val="00355DBD"/>
    <w:rPr>
      <w:rFonts w:eastAsia="SimSun" w:cs="Times New Roman"/>
      <w:sz w:val="24"/>
      <w:szCs w:val="24"/>
      <w:lang w:val="en-GB"/>
    </w:rPr>
  </w:style>
  <w:style w:type="paragraph" w:styleId="Footer">
    <w:name w:val="footer"/>
    <w:basedOn w:val="Normal"/>
    <w:link w:val="FooterChar"/>
    <w:unhideWhenUsed/>
    <w:rsid w:val="00355DBD"/>
    <w:pPr>
      <w:tabs>
        <w:tab w:val="center" w:pos="4513"/>
        <w:tab w:val="right" w:pos="9026"/>
      </w:tabs>
    </w:pPr>
    <w:rPr>
      <w:rFonts w:ascii="Calibri Light" w:hAnsi="Calibri Light"/>
    </w:rPr>
  </w:style>
  <w:style w:type="character" w:customStyle="1" w:styleId="FooterChar">
    <w:name w:val="Footer Char"/>
    <w:link w:val="Footer"/>
    <w:rsid w:val="00355DBD"/>
    <w:rPr>
      <w:rFonts w:ascii="Calibri Light" w:eastAsia="SimSun" w:hAnsi="Calibri Light" w:cs="Times New Roman"/>
    </w:rPr>
  </w:style>
  <w:style w:type="paragraph" w:styleId="Revision">
    <w:name w:val="Revision"/>
    <w:hidden/>
    <w:uiPriority w:val="99"/>
    <w:semiHidden/>
    <w:rsid w:val="002C4DF3"/>
    <w:rPr>
      <w:rFonts w:ascii="Times New Roman" w:eastAsia="SimSun" w:hAnsi="Times New Roman" w:cs="Times New Roman"/>
      <w:sz w:val="24"/>
      <w:szCs w:val="24"/>
      <w:lang w:val="en-GB" w:eastAsia="en-GB"/>
    </w:rPr>
  </w:style>
  <w:style w:type="table" w:customStyle="1" w:styleId="LightList-Accent11">
    <w:name w:val="Light List - Accent 11"/>
    <w:basedOn w:val="TableNormal"/>
    <w:next w:val="21"/>
    <w:uiPriority w:val="61"/>
    <w:rsid w:val="00355DBD"/>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3">
    <w:name w:val="toc 3"/>
    <w:basedOn w:val="Normal"/>
    <w:next w:val="Normal"/>
    <w:autoRedefine/>
    <w:unhideWhenUsed/>
    <w:rsid w:val="00B81F50"/>
    <w:pPr>
      <w:tabs>
        <w:tab w:val="left" w:pos="1320"/>
        <w:tab w:val="right" w:leader="dot" w:pos="9017"/>
      </w:tabs>
      <w:spacing w:after="100" w:line="240" w:lineRule="auto"/>
      <w:ind w:left="480"/>
      <w:contextualSpacing/>
    </w:pPr>
    <w:rPr>
      <w:rFonts w:ascii="Times New Roman" w:hAnsi="Times New Roman" w:cs="Angsana New"/>
      <w:szCs w:val="30"/>
      <w:lang w:bidi="th-TH"/>
    </w:rPr>
  </w:style>
  <w:style w:type="paragraph" w:customStyle="1" w:styleId="NoSpacing1">
    <w:name w:val="No Spacing1"/>
    <w:next w:val="NoSpacing"/>
    <w:rsid w:val="002C4DF3"/>
    <w:rPr>
      <w:rFonts w:ascii="Calibri" w:hAnsi="Calibri" w:cs="Times New Roman"/>
      <w:sz w:val="22"/>
      <w:szCs w:val="22"/>
      <w:lang w:val="en-GB"/>
    </w:rPr>
  </w:style>
  <w:style w:type="paragraph" w:customStyle="1" w:styleId="BodyText1">
    <w:name w:val="Body Text1"/>
    <w:basedOn w:val="Normal"/>
    <w:next w:val="BodyText"/>
    <w:link w:val="BodyTextChar"/>
    <w:unhideWhenUsed/>
    <w:qFormat/>
    <w:rsid w:val="00355DBD"/>
    <w:pPr>
      <w:spacing w:after="120"/>
    </w:pPr>
    <w:rPr>
      <w:rFonts w:ascii="Calibri" w:eastAsia="Calibri" w:hAnsi="Calibri"/>
      <w:sz w:val="20"/>
      <w:szCs w:val="20"/>
    </w:rPr>
  </w:style>
  <w:style w:type="character" w:customStyle="1" w:styleId="BodyTextChar">
    <w:name w:val="Body Text Char"/>
    <w:link w:val="BodyText1"/>
    <w:rsid w:val="00355DBD"/>
    <w:rPr>
      <w:rFonts w:ascii="Calibri" w:eastAsia="Calibri" w:hAnsi="Calibri" w:cs="Times New Roman"/>
      <w:sz w:val="20"/>
      <w:szCs w:val="20"/>
    </w:rPr>
  </w:style>
  <w:style w:type="paragraph" w:customStyle="1" w:styleId="Pa13">
    <w:name w:val="Pa13"/>
    <w:basedOn w:val="Normal"/>
    <w:next w:val="Normal"/>
    <w:rsid w:val="00355DBD"/>
    <w:pPr>
      <w:autoSpaceDE w:val="0"/>
      <w:autoSpaceDN w:val="0"/>
      <w:adjustRightInd w:val="0"/>
      <w:spacing w:after="0" w:line="201" w:lineRule="atLeast"/>
    </w:pPr>
    <w:rPr>
      <w:rFonts w:ascii="Palatino Linotype" w:hAnsi="Palatino Linotype"/>
      <w:lang w:val="nb-NO"/>
    </w:rPr>
  </w:style>
  <w:style w:type="character" w:customStyle="1" w:styleId="A5">
    <w:name w:val="A5"/>
    <w:rsid w:val="00355DBD"/>
    <w:rPr>
      <w:rFonts w:cs="Palatino Linotype"/>
      <w:i/>
      <w:iCs/>
      <w:color w:val="000000"/>
      <w:sz w:val="11"/>
      <w:szCs w:val="11"/>
    </w:rPr>
  </w:style>
  <w:style w:type="character" w:customStyle="1" w:styleId="A7">
    <w:name w:val="A7"/>
    <w:rsid w:val="00355DBD"/>
    <w:rPr>
      <w:rFonts w:cs="RijksoverheidSansText"/>
      <w:color w:val="000000"/>
      <w:sz w:val="10"/>
      <w:szCs w:val="10"/>
    </w:rPr>
  </w:style>
  <w:style w:type="paragraph" w:customStyle="1" w:styleId="EndNoteBibliography">
    <w:name w:val="EndNote Bibliography"/>
    <w:basedOn w:val="Normal"/>
    <w:link w:val="EndNoteBibliographyChar"/>
    <w:rsid w:val="00355DBD"/>
    <w:pPr>
      <w:spacing w:line="240" w:lineRule="auto"/>
      <w:jc w:val="both"/>
    </w:pPr>
    <w:rPr>
      <w:rFonts w:ascii="Calibri" w:hAnsi="Calibri" w:cs="Calibri"/>
      <w:noProof/>
      <w:szCs w:val="28"/>
      <w:lang w:bidi="th-TH"/>
    </w:rPr>
  </w:style>
  <w:style w:type="character" w:customStyle="1" w:styleId="EndNoteBibliographyChar">
    <w:name w:val="EndNote Bibliography Char"/>
    <w:link w:val="EndNoteBibliography"/>
    <w:rsid w:val="00355DBD"/>
    <w:rPr>
      <w:rFonts w:ascii="Calibri" w:eastAsia="SimSun" w:hAnsi="Calibri" w:cs="Calibri"/>
      <w:noProof/>
      <w:szCs w:val="28"/>
      <w:lang w:bidi="th-TH"/>
    </w:rPr>
  </w:style>
  <w:style w:type="character" w:customStyle="1" w:styleId="SubtitleChar">
    <w:name w:val="Subtitle Char"/>
    <w:link w:val="Subtitle"/>
    <w:rsid w:val="00355DBD"/>
    <w:rPr>
      <w:rFonts w:ascii="Arial" w:eastAsia="Arial" w:hAnsi="Arial" w:cs="Times New Roman"/>
      <w:color w:val="666666"/>
      <w:sz w:val="30"/>
      <w:szCs w:val="30"/>
      <w:lang w:eastAsia="zh-CN"/>
    </w:rPr>
  </w:style>
  <w:style w:type="paragraph" w:customStyle="1" w:styleId="Body">
    <w:name w:val="Body"/>
    <w:rsid w:val="002C4DF3"/>
    <w:pPr>
      <w:pBdr>
        <w:top w:val="nil"/>
        <w:left w:val="nil"/>
        <w:bottom w:val="nil"/>
        <w:right w:val="nil"/>
        <w:between w:val="nil"/>
        <w:bar w:val="nil"/>
      </w:pBdr>
      <w:spacing w:line="360" w:lineRule="auto"/>
    </w:pPr>
    <w:rPr>
      <w:rFonts w:eastAsia="Arial Unicode MS" w:cs="Arial Unicode MS"/>
      <w:color w:val="000000"/>
      <w:sz w:val="24"/>
      <w:szCs w:val="24"/>
      <w:u w:color="000000"/>
      <w:bdr w:val="nil"/>
      <w:lang w:eastAsia="en-AU"/>
    </w:rPr>
  </w:style>
  <w:style w:type="paragraph" w:styleId="TOC4">
    <w:name w:val="toc 4"/>
    <w:rsid w:val="002C4DF3"/>
    <w:pPr>
      <w:pBdr>
        <w:top w:val="nil"/>
        <w:left w:val="nil"/>
        <w:bottom w:val="nil"/>
        <w:right w:val="nil"/>
        <w:between w:val="nil"/>
        <w:bar w:val="nil"/>
      </w:pBdr>
      <w:spacing w:after="100" w:line="360" w:lineRule="auto"/>
    </w:pPr>
    <w:rPr>
      <w:color w:val="000000"/>
      <w:sz w:val="24"/>
      <w:szCs w:val="24"/>
      <w:u w:color="000000"/>
      <w:bdr w:val="nil"/>
      <w:lang w:eastAsia="en-AU"/>
    </w:rPr>
  </w:style>
  <w:style w:type="paragraph" w:customStyle="1" w:styleId="Heading">
    <w:name w:val="Heading"/>
    <w:next w:val="Body"/>
    <w:rsid w:val="002C4DF3"/>
    <w:pPr>
      <w:keepNext/>
      <w:keepLines/>
      <w:pBdr>
        <w:top w:val="nil"/>
        <w:left w:val="nil"/>
        <w:bottom w:val="nil"/>
        <w:right w:val="nil"/>
        <w:between w:val="nil"/>
        <w:bar w:val="nil"/>
      </w:pBdr>
      <w:spacing w:before="480" w:line="360" w:lineRule="auto"/>
      <w:outlineLvl w:val="3"/>
    </w:pPr>
    <w:rPr>
      <w:b/>
      <w:bCs/>
      <w:color w:val="365F91"/>
      <w:sz w:val="28"/>
      <w:szCs w:val="28"/>
      <w:u w:color="365F91"/>
      <w:bdr w:val="nil"/>
      <w:lang w:val="en-AU" w:eastAsia="en-AU"/>
    </w:rPr>
  </w:style>
  <w:style w:type="numbering" w:customStyle="1" w:styleId="ImportedStyle1">
    <w:name w:val="Imported Style 1"/>
    <w:rsid w:val="00355DBD"/>
    <w:pPr>
      <w:numPr>
        <w:numId w:val="2"/>
      </w:numPr>
    </w:pPr>
  </w:style>
  <w:style w:type="character" w:customStyle="1" w:styleId="Hyperlink0">
    <w:name w:val="Hyperlink.0"/>
    <w:rsid w:val="00355DBD"/>
    <w:rPr>
      <w:color w:val="0000FF"/>
      <w:u w:val="single" w:color="0000FF"/>
    </w:rPr>
  </w:style>
  <w:style w:type="character" w:customStyle="1" w:styleId="Hyperlink10">
    <w:name w:val="Hyperlink.1"/>
    <w:rsid w:val="00355DBD"/>
    <w:rPr>
      <w:rFonts w:ascii="Times New Roman" w:eastAsia="Times New Roman" w:hAnsi="Times New Roman" w:cs="Times New Roman"/>
      <w:color w:val="0000FF"/>
      <w:kern w:val="24"/>
      <w:u w:val="single" w:color="0000FF"/>
    </w:rPr>
  </w:style>
  <w:style w:type="numbering" w:customStyle="1" w:styleId="ImportedStyle3">
    <w:name w:val="Imported Style 3"/>
    <w:rsid w:val="00355DBD"/>
    <w:pPr>
      <w:numPr>
        <w:numId w:val="3"/>
      </w:numPr>
    </w:pPr>
  </w:style>
  <w:style w:type="paragraph" w:customStyle="1" w:styleId="BodyA">
    <w:name w:val="Body A"/>
    <w:rsid w:val="002C4DF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nl-NL" w:eastAsia="en-AU"/>
    </w:rPr>
  </w:style>
  <w:style w:type="numbering" w:customStyle="1" w:styleId="ImportedStyle4">
    <w:name w:val="Imported Style 4"/>
    <w:rsid w:val="00355DBD"/>
    <w:pPr>
      <w:numPr>
        <w:numId w:val="4"/>
      </w:numPr>
    </w:pPr>
  </w:style>
  <w:style w:type="numbering" w:customStyle="1" w:styleId="ImportedStyle5">
    <w:name w:val="Imported Style 5"/>
    <w:rsid w:val="00355DBD"/>
    <w:pPr>
      <w:numPr>
        <w:numId w:val="5"/>
      </w:numPr>
    </w:pPr>
  </w:style>
  <w:style w:type="numbering" w:customStyle="1" w:styleId="ImportedStyle6">
    <w:name w:val="Imported Style 6"/>
    <w:rsid w:val="00355DBD"/>
    <w:pPr>
      <w:numPr>
        <w:numId w:val="6"/>
      </w:numPr>
    </w:pPr>
  </w:style>
  <w:style w:type="character" w:customStyle="1" w:styleId="None">
    <w:name w:val="None"/>
    <w:rsid w:val="00355DBD"/>
  </w:style>
  <w:style w:type="character" w:customStyle="1" w:styleId="Hyperlink3">
    <w:name w:val="Hyperlink.3"/>
    <w:rsid w:val="00355DBD"/>
    <w:rPr>
      <w:rFonts w:ascii="Times New Roman" w:eastAsia="Times New Roman" w:hAnsi="Times New Roman" w:cs="Times New Roman"/>
      <w:color w:val="0000FF"/>
      <w:u w:val="single" w:color="0000FF"/>
      <w:lang w:val="en-US"/>
    </w:rPr>
  </w:style>
  <w:style w:type="table" w:customStyle="1" w:styleId="TableGrid1">
    <w:name w:val="Table Grid1"/>
    <w:basedOn w:val="TableNormal"/>
    <w:next w:val="TableGrid"/>
    <w:uiPriority w:val="39"/>
    <w:rsid w:val="00355DBD"/>
    <w:rPr>
      <w:rFonts w:ascii="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55DBD"/>
    <w:rPr>
      <w:rFonts w:ascii="Times" w:hAnsi="Times"/>
      <w:sz w:val="15"/>
      <w:szCs w:val="15"/>
      <w:lang w:eastAsia="en-GB"/>
    </w:rPr>
  </w:style>
  <w:style w:type="paragraph" w:customStyle="1" w:styleId="TableText">
    <w:name w:val="TableText"/>
    <w:basedOn w:val="Normal"/>
    <w:next w:val="BoxText"/>
    <w:link w:val="TableTextChar"/>
    <w:qFormat/>
    <w:rsid w:val="0024498D"/>
    <w:pPr>
      <w:spacing w:before="60" w:after="60"/>
    </w:pPr>
    <w:rPr>
      <w:rFonts w:asciiTheme="minorHAnsi" w:hAnsiTheme="minorHAnsi"/>
      <w:sz w:val="22"/>
      <w:szCs w:val="20"/>
    </w:rPr>
  </w:style>
  <w:style w:type="paragraph" w:customStyle="1" w:styleId="BoxText">
    <w:name w:val="BoxText"/>
    <w:basedOn w:val="Normal"/>
    <w:link w:val="BoxTextChar"/>
    <w:qFormat/>
    <w:rsid w:val="00355DBD"/>
    <w:rPr>
      <w:rFonts w:ascii="Calibri" w:eastAsia="MS Mincho" w:hAnsi="Calibri"/>
      <w:sz w:val="16"/>
      <w:szCs w:val="16"/>
      <w:lang w:eastAsia="en-GB"/>
    </w:rPr>
  </w:style>
  <w:style w:type="character" w:customStyle="1" w:styleId="TableTextChar">
    <w:name w:val="TableText Char"/>
    <w:link w:val="TableText"/>
    <w:rsid w:val="0024498D"/>
    <w:rPr>
      <w:rFonts w:asciiTheme="minorHAnsi" w:eastAsia="SimSun" w:hAnsiTheme="minorHAnsi" w:cs="Times New Roman"/>
      <w:sz w:val="22"/>
      <w:lang w:val="en-GB"/>
    </w:rPr>
  </w:style>
  <w:style w:type="character" w:customStyle="1" w:styleId="BoxTextChar">
    <w:name w:val="BoxText Char"/>
    <w:link w:val="BoxText"/>
    <w:rsid w:val="00355DBD"/>
    <w:rPr>
      <w:rFonts w:ascii="Calibri" w:eastAsia="MS Mincho" w:hAnsi="Calibri" w:cs="Times New Roman"/>
      <w:sz w:val="16"/>
      <w:szCs w:val="16"/>
      <w:lang w:eastAsia="en-GB"/>
    </w:rPr>
  </w:style>
  <w:style w:type="character" w:styleId="LineNumber">
    <w:name w:val="line number"/>
    <w:semiHidden/>
    <w:unhideWhenUsed/>
    <w:rsid w:val="00355DBD"/>
  </w:style>
  <w:style w:type="paragraph" w:customStyle="1" w:styleId="GraphicReferenceText">
    <w:name w:val="GraphicReferenceText"/>
    <w:basedOn w:val="Normal"/>
    <w:link w:val="GraphicReferenceTextChar"/>
    <w:rsid w:val="00355DBD"/>
    <w:rPr>
      <w:rFonts w:ascii="Calibri" w:hAnsi="Calibri"/>
      <w:sz w:val="20"/>
      <w:szCs w:val="20"/>
      <w:lang w:bidi="th-TH"/>
    </w:rPr>
  </w:style>
  <w:style w:type="character" w:customStyle="1" w:styleId="GraphicReferenceTextChar">
    <w:name w:val="GraphicReferenceText Char"/>
    <w:link w:val="GraphicReferenceText"/>
    <w:rsid w:val="00355DBD"/>
    <w:rPr>
      <w:rFonts w:ascii="Calibri" w:eastAsia="SimSun" w:hAnsi="Calibri" w:cs="Times New Roman"/>
      <w:sz w:val="20"/>
      <w:szCs w:val="20"/>
      <w:lang w:bidi="th-TH"/>
    </w:rPr>
  </w:style>
  <w:style w:type="table" w:customStyle="1" w:styleId="LightList-Accent111">
    <w:name w:val="Light List - Accent 111"/>
    <w:basedOn w:val="TableNormal"/>
    <w:uiPriority w:val="61"/>
    <w:rsid w:val="00355DBD"/>
    <w:rPr>
      <w:rFonts w:ascii="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Text0">
    <w:name w:val="FootnoteText"/>
    <w:basedOn w:val="FootnoteText"/>
    <w:link w:val="FootnoteTextChar0"/>
    <w:qFormat/>
    <w:rsid w:val="00355DBD"/>
    <w:pPr>
      <w:spacing w:line="240" w:lineRule="auto"/>
    </w:pPr>
    <w:rPr>
      <w:rFonts w:ascii="Times New Roman" w:hAnsi="Times New Roman"/>
      <w:lang w:eastAsia="en-GB" w:bidi="th-TH"/>
    </w:rPr>
  </w:style>
  <w:style w:type="character" w:customStyle="1" w:styleId="FootnoteTextChar0">
    <w:name w:val="FootnoteText Char"/>
    <w:link w:val="FootnoteText0"/>
    <w:rsid w:val="00355DBD"/>
    <w:rPr>
      <w:rFonts w:ascii="Times New Roman" w:eastAsia="SimSun" w:hAnsi="Times New Roman" w:cs="Times New Roman"/>
      <w:sz w:val="20"/>
      <w:szCs w:val="20"/>
      <w:lang w:eastAsia="en-GB" w:bidi="th-TH"/>
    </w:rPr>
  </w:style>
  <w:style w:type="paragraph" w:customStyle="1" w:styleId="BulletText">
    <w:name w:val="BulletText"/>
    <w:basedOn w:val="ListParagraph"/>
    <w:link w:val="BulletTextChar"/>
    <w:rsid w:val="002C4DF3"/>
    <w:pPr>
      <w:numPr>
        <w:numId w:val="8"/>
      </w:numPr>
      <w:pBdr>
        <w:top w:val="nil"/>
        <w:left w:val="nil"/>
        <w:bottom w:val="nil"/>
        <w:right w:val="nil"/>
        <w:between w:val="nil"/>
      </w:pBdr>
      <w:contextualSpacing/>
    </w:pPr>
    <w:rPr>
      <w:rFonts w:eastAsia="Times New Roman"/>
      <w:color w:val="000000"/>
    </w:rPr>
  </w:style>
  <w:style w:type="table" w:customStyle="1" w:styleId="MediumShading11">
    <w:name w:val="Medium Shading 11"/>
    <w:basedOn w:val="TableNormal"/>
    <w:next w:val="410"/>
    <w:uiPriority w:val="63"/>
    <w:rsid w:val="00355DBD"/>
    <w:pPr>
      <w:pBdr>
        <w:top w:val="nil"/>
        <w:left w:val="nil"/>
        <w:bottom w:val="nil"/>
        <w:right w:val="nil"/>
        <w:between w:val="nil"/>
      </w:pBdr>
      <w:jc w:val="both"/>
    </w:pPr>
    <w:rPr>
      <w:rFonts w:ascii="Times New Roman" w:eastAsia="Times New Roman" w:hAnsi="Times New Roman" w:cs="Times New Roman"/>
      <w:color w:val="00000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BulletTextChar">
    <w:name w:val="BulletText Char"/>
    <w:link w:val="BulletText"/>
    <w:rsid w:val="00355DBD"/>
    <w:rPr>
      <w:rFonts w:eastAsia="Times New Roman" w:cs="Times New Roman"/>
      <w:color w:val="000000"/>
      <w:sz w:val="24"/>
      <w:szCs w:val="24"/>
      <w:lang w:val="en-GB"/>
    </w:rPr>
  </w:style>
  <w:style w:type="table" w:customStyle="1" w:styleId="MediumShading1-Accent51">
    <w:name w:val="Medium Shading 1 - Accent 51"/>
    <w:basedOn w:val="TableNormal"/>
    <w:next w:val="MediumShading1-Accent5"/>
    <w:uiPriority w:val="63"/>
    <w:rsid w:val="00355DBD"/>
    <w:pPr>
      <w:pBdr>
        <w:top w:val="nil"/>
        <w:left w:val="nil"/>
        <w:bottom w:val="nil"/>
        <w:right w:val="nil"/>
        <w:between w:val="nil"/>
      </w:pBdr>
      <w:jc w:val="both"/>
    </w:pPr>
    <w:rPr>
      <w:rFonts w:ascii="Times New Roman" w:eastAsia="Times New Roman" w:hAnsi="Times New Roman" w:cs="Times New Roman"/>
      <w:color w:val="00000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ny-space-below">
    <w:name w:val="tiny-space-below"/>
    <w:basedOn w:val="Normal"/>
    <w:rsid w:val="00355DBD"/>
    <w:pPr>
      <w:spacing w:before="100" w:beforeAutospacing="1" w:after="100" w:afterAutospacing="1" w:line="240" w:lineRule="auto"/>
    </w:pPr>
    <w:rPr>
      <w:rFonts w:ascii="Times New Roman" w:hAnsi="Times New Roman"/>
    </w:rPr>
  </w:style>
  <w:style w:type="character" w:styleId="HTMLCite">
    <w:name w:val="HTML Cite"/>
    <w:uiPriority w:val="99"/>
    <w:semiHidden/>
    <w:unhideWhenUsed/>
    <w:rsid w:val="00355DBD"/>
    <w:rPr>
      <w:i/>
      <w:iCs/>
    </w:rPr>
  </w:style>
  <w:style w:type="character" w:customStyle="1" w:styleId="author">
    <w:name w:val="author"/>
    <w:rsid w:val="00355DBD"/>
  </w:style>
  <w:style w:type="character" w:customStyle="1" w:styleId="pubyear">
    <w:name w:val="pubyear"/>
    <w:rsid w:val="00355DBD"/>
  </w:style>
  <w:style w:type="character" w:customStyle="1" w:styleId="articletitle">
    <w:name w:val="articletitle"/>
    <w:rsid w:val="00355DBD"/>
  </w:style>
  <w:style w:type="character" w:customStyle="1" w:styleId="journaltitle">
    <w:name w:val="journaltitle"/>
    <w:rsid w:val="00355DBD"/>
  </w:style>
  <w:style w:type="character" w:customStyle="1" w:styleId="vol">
    <w:name w:val="vol"/>
    <w:rsid w:val="00355DBD"/>
  </w:style>
  <w:style w:type="character" w:customStyle="1" w:styleId="pagefirst">
    <w:name w:val="pagefirst"/>
    <w:rsid w:val="00355DBD"/>
  </w:style>
  <w:style w:type="character" w:customStyle="1" w:styleId="pagelast">
    <w:name w:val="pagelast"/>
    <w:rsid w:val="00355DBD"/>
  </w:style>
  <w:style w:type="paragraph" w:customStyle="1" w:styleId="TableParagraph">
    <w:name w:val="Table Paragraph"/>
    <w:basedOn w:val="Normal"/>
    <w:qFormat/>
    <w:rsid w:val="00355DBD"/>
    <w:pPr>
      <w:widowControl w:val="0"/>
      <w:autoSpaceDE w:val="0"/>
      <w:autoSpaceDN w:val="0"/>
      <w:spacing w:before="80" w:after="0" w:line="240" w:lineRule="auto"/>
    </w:pPr>
    <w:rPr>
      <w:rFonts w:ascii="Calibri" w:eastAsia="Calibri" w:hAnsi="Calibri" w:cs="Calibri"/>
    </w:rPr>
  </w:style>
  <w:style w:type="table" w:customStyle="1" w:styleId="GridTable4-Accent11">
    <w:name w:val="Grid Table 4 - Accent 11"/>
    <w:basedOn w:val="TableNormal"/>
    <w:uiPriority w:val="49"/>
    <w:rsid w:val="00355DBD"/>
    <w:rPr>
      <w:rFonts w:ascii="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1">
    <w:name w:val="head1"/>
    <w:rsid w:val="00355DBD"/>
  </w:style>
  <w:style w:type="character" w:customStyle="1" w:styleId="st">
    <w:name w:val="st"/>
    <w:rsid w:val="00355DBD"/>
  </w:style>
  <w:style w:type="paragraph" w:customStyle="1" w:styleId="Pa3">
    <w:name w:val="Pa3"/>
    <w:basedOn w:val="Normal"/>
    <w:next w:val="Normal"/>
    <w:rsid w:val="00355DBD"/>
    <w:pPr>
      <w:autoSpaceDE w:val="0"/>
      <w:autoSpaceDN w:val="0"/>
      <w:adjustRightInd w:val="0"/>
      <w:spacing w:after="0" w:line="241" w:lineRule="atLeast"/>
    </w:pPr>
    <w:rPr>
      <w:rFonts w:ascii="EC Square Sans Pro" w:hAnsi="EC Square Sans Pro"/>
      <w:lang w:val="it-IT"/>
    </w:rPr>
  </w:style>
  <w:style w:type="character" w:customStyle="1" w:styleId="A6">
    <w:name w:val="A6"/>
    <w:rsid w:val="00355DBD"/>
    <w:rPr>
      <w:rFonts w:cs="EC Square Sans Pro"/>
      <w:b/>
      <w:bCs/>
      <w:color w:val="000000"/>
      <w:sz w:val="20"/>
      <w:szCs w:val="20"/>
    </w:rPr>
  </w:style>
  <w:style w:type="paragraph" w:customStyle="1" w:styleId="SourceText">
    <w:name w:val="SourceText"/>
    <w:basedOn w:val="ReferenceText"/>
    <w:link w:val="SourceTextChar"/>
    <w:qFormat/>
    <w:rsid w:val="000A4C72"/>
    <w:rPr>
      <w:rFonts w:asciiTheme="minorHAnsi" w:hAnsiTheme="minorHAnsi" w:cs="Segoe UI"/>
      <w:color w:val="auto"/>
      <w:sz w:val="20"/>
      <w:szCs w:val="20"/>
    </w:rPr>
  </w:style>
  <w:style w:type="character" w:customStyle="1" w:styleId="SourceTextChar">
    <w:name w:val="SourceText Char"/>
    <w:link w:val="SourceText"/>
    <w:rsid w:val="000A4C72"/>
    <w:rPr>
      <w:rFonts w:asciiTheme="minorHAnsi" w:eastAsia="SimSun" w:hAnsiTheme="minorHAnsi" w:cs="Segoe UI"/>
      <w:lang w:val="en-GB" w:eastAsia="zh-CN"/>
    </w:rPr>
  </w:style>
  <w:style w:type="paragraph" w:styleId="EndnoteText">
    <w:name w:val="endnote text"/>
    <w:basedOn w:val="Normal"/>
    <w:link w:val="EndnoteTextChar"/>
    <w:unhideWhenUsed/>
    <w:rsid w:val="00355DBD"/>
    <w:pPr>
      <w:spacing w:after="0" w:line="240" w:lineRule="auto"/>
    </w:pPr>
    <w:rPr>
      <w:rFonts w:ascii="Times New Roman" w:eastAsia="Times New Roman" w:hAnsi="Times New Roman"/>
    </w:rPr>
  </w:style>
  <w:style w:type="character" w:customStyle="1" w:styleId="EndnoteTextChar">
    <w:name w:val="Endnote Text Char"/>
    <w:link w:val="EndnoteText"/>
    <w:rsid w:val="00355DBD"/>
    <w:rPr>
      <w:rFonts w:ascii="Times New Roman" w:eastAsia="Times New Roman" w:hAnsi="Times New Roman" w:cs="Times New Roman"/>
    </w:rPr>
  </w:style>
  <w:style w:type="character" w:styleId="EndnoteReference">
    <w:name w:val="endnote reference"/>
    <w:unhideWhenUsed/>
    <w:rsid w:val="00355DBD"/>
    <w:rPr>
      <w:vertAlign w:val="superscript"/>
    </w:rPr>
  </w:style>
  <w:style w:type="character" w:customStyle="1" w:styleId="italic">
    <w:name w:val="italic"/>
    <w:rsid w:val="00355DBD"/>
  </w:style>
  <w:style w:type="paragraph" w:customStyle="1" w:styleId="ReferenceText">
    <w:name w:val="ReferenceText"/>
    <w:basedOn w:val="Normal"/>
    <w:link w:val="ReferenceTextChar"/>
    <w:qFormat/>
    <w:rsid w:val="000056BB"/>
    <w:pPr>
      <w:pBdr>
        <w:top w:val="nil"/>
        <w:left w:val="nil"/>
        <w:bottom w:val="nil"/>
        <w:right w:val="nil"/>
        <w:between w:val="nil"/>
      </w:pBdr>
      <w:spacing w:before="80" w:after="80" w:line="240" w:lineRule="auto"/>
      <w:ind w:left="426" w:hanging="426"/>
    </w:pPr>
    <w:rPr>
      <w:color w:val="000000"/>
      <w:sz w:val="22"/>
      <w:lang w:eastAsia="zh-CN"/>
    </w:rPr>
  </w:style>
  <w:style w:type="character" w:customStyle="1" w:styleId="ReferenceTextChar">
    <w:name w:val="ReferenceText Char"/>
    <w:link w:val="ReferenceText"/>
    <w:rsid w:val="000056BB"/>
    <w:rPr>
      <w:rFonts w:eastAsia="SimSun" w:cs="Times New Roman"/>
      <w:color w:val="000000"/>
      <w:sz w:val="22"/>
      <w:szCs w:val="24"/>
      <w:lang w:val="en-GB" w:eastAsia="zh-CN"/>
    </w:rPr>
  </w:style>
  <w:style w:type="paragraph" w:customStyle="1" w:styleId="HeaderFooter">
    <w:name w:val="Header &amp; Footer"/>
    <w:rsid w:val="002C4DF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TitleA">
    <w:name w:val="Title A"/>
    <w:next w:val="Normal"/>
    <w:rsid w:val="002C4DF3"/>
    <w:pPr>
      <w:pBdr>
        <w:top w:val="nil"/>
        <w:left w:val="nil"/>
        <w:bottom w:val="single" w:sz="8" w:space="0" w:color="4F81BD"/>
        <w:right w:val="nil"/>
        <w:between w:val="nil"/>
        <w:bar w:val="nil"/>
      </w:pBdr>
      <w:spacing w:after="300"/>
    </w:pPr>
    <w:rPr>
      <w:rFonts w:eastAsia="Arial Unicode MS" w:cs="Arial Unicode MS"/>
      <w:color w:val="17365D"/>
      <w:spacing w:val="5"/>
      <w:kern w:val="28"/>
      <w:sz w:val="52"/>
      <w:szCs w:val="52"/>
      <w:u w:color="17365D"/>
      <w:bdr w:val="nil"/>
    </w:rPr>
  </w:style>
  <w:style w:type="numbering" w:customStyle="1" w:styleId="ImportedStyle2">
    <w:name w:val="Imported Style 2"/>
    <w:rsid w:val="00355DBD"/>
    <w:pPr>
      <w:numPr>
        <w:numId w:val="9"/>
      </w:numPr>
    </w:pPr>
  </w:style>
  <w:style w:type="character" w:customStyle="1" w:styleId="Hyperlink2">
    <w:name w:val="Hyperlink.2"/>
    <w:rsid w:val="00355DBD"/>
    <w:rPr>
      <w:rFonts w:ascii="Times New Roman" w:eastAsia="Times New Roman" w:hAnsi="Times New Roman" w:cs="Times New Roman"/>
      <w:color w:val="0000FF"/>
      <w:sz w:val="24"/>
      <w:szCs w:val="24"/>
      <w:u w:val="single" w:color="0000FF"/>
    </w:rPr>
  </w:style>
  <w:style w:type="paragraph" w:customStyle="1" w:styleId="TOC51">
    <w:name w:val="TOC 51"/>
    <w:basedOn w:val="Normal"/>
    <w:next w:val="Normal"/>
    <w:autoRedefine/>
    <w:unhideWhenUsed/>
    <w:rsid w:val="002C4DF3"/>
    <w:pPr>
      <w:spacing w:after="100"/>
      <w:ind w:left="880"/>
    </w:pPr>
    <w:rPr>
      <w:lang w:eastAsia="zh-CN"/>
    </w:rPr>
  </w:style>
  <w:style w:type="paragraph" w:customStyle="1" w:styleId="TOC61">
    <w:name w:val="TOC 61"/>
    <w:basedOn w:val="Normal"/>
    <w:next w:val="Normal"/>
    <w:autoRedefine/>
    <w:unhideWhenUsed/>
    <w:rsid w:val="002C4DF3"/>
    <w:pPr>
      <w:spacing w:after="100"/>
      <w:ind w:left="1100"/>
    </w:pPr>
    <w:rPr>
      <w:lang w:eastAsia="zh-CN"/>
    </w:rPr>
  </w:style>
  <w:style w:type="paragraph" w:customStyle="1" w:styleId="TOC71">
    <w:name w:val="TOC 71"/>
    <w:basedOn w:val="Normal"/>
    <w:next w:val="Normal"/>
    <w:autoRedefine/>
    <w:unhideWhenUsed/>
    <w:rsid w:val="002C4DF3"/>
    <w:pPr>
      <w:spacing w:after="100"/>
      <w:ind w:left="1320"/>
    </w:pPr>
    <w:rPr>
      <w:lang w:eastAsia="zh-CN"/>
    </w:rPr>
  </w:style>
  <w:style w:type="paragraph" w:customStyle="1" w:styleId="TOC81">
    <w:name w:val="TOC 81"/>
    <w:basedOn w:val="Normal"/>
    <w:next w:val="Normal"/>
    <w:autoRedefine/>
    <w:unhideWhenUsed/>
    <w:rsid w:val="002C4DF3"/>
    <w:pPr>
      <w:spacing w:after="100"/>
      <w:ind w:left="1540"/>
    </w:pPr>
    <w:rPr>
      <w:lang w:eastAsia="zh-CN"/>
    </w:rPr>
  </w:style>
  <w:style w:type="paragraph" w:customStyle="1" w:styleId="TOC91">
    <w:name w:val="TOC 91"/>
    <w:basedOn w:val="Normal"/>
    <w:next w:val="Normal"/>
    <w:autoRedefine/>
    <w:unhideWhenUsed/>
    <w:rsid w:val="002C4DF3"/>
    <w:pPr>
      <w:spacing w:after="100"/>
      <w:ind w:left="1760"/>
    </w:pPr>
    <w:rPr>
      <w:lang w:eastAsia="zh-CN"/>
    </w:rPr>
  </w:style>
  <w:style w:type="table" w:customStyle="1" w:styleId="Style1">
    <w:name w:val="Style1"/>
    <w:basedOn w:val="TableNormal"/>
    <w:uiPriority w:val="99"/>
    <w:rsid w:val="00355DBD"/>
    <w:rPr>
      <w:rFonts w:ascii="Calibri" w:eastAsia="SimSun" w:hAnsi="Calibri" w:cs="Times New Roman"/>
      <w:lang w:eastAsia="zh-CN"/>
    </w:rPr>
    <w:tblPr/>
  </w:style>
  <w:style w:type="table" w:customStyle="1" w:styleId="MediumShading21">
    <w:name w:val="Medium Shading 21"/>
    <w:basedOn w:val="TableNormal"/>
    <w:next w:val="51"/>
    <w:uiPriority w:val="64"/>
    <w:rsid w:val="00355DBD"/>
    <w:rPr>
      <w:rFonts w:ascii="Calibri" w:eastAsia="SimSun" w:hAnsi="Calibri"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1">
    <w:name w:val="Heading 5 Char1"/>
    <w:semiHidden/>
    <w:rsid w:val="00355DBD"/>
    <w:rPr>
      <w:rFonts w:ascii="Calibri Light" w:eastAsia="MS Gothic" w:hAnsi="Calibri Light" w:cs="Times New Roman"/>
      <w:color w:val="2E74B5"/>
    </w:rPr>
  </w:style>
  <w:style w:type="character" w:customStyle="1" w:styleId="Heading6Char1">
    <w:name w:val="Heading 6 Char1"/>
    <w:semiHidden/>
    <w:rsid w:val="00355DBD"/>
    <w:rPr>
      <w:rFonts w:ascii="Calibri Light" w:eastAsia="MS Gothic" w:hAnsi="Calibri Light" w:cs="Times New Roman"/>
      <w:color w:val="1F4D78"/>
    </w:rPr>
  </w:style>
  <w:style w:type="character" w:customStyle="1" w:styleId="Heading7Char1">
    <w:name w:val="Heading 7 Char1"/>
    <w:semiHidden/>
    <w:rsid w:val="00355DBD"/>
    <w:rPr>
      <w:rFonts w:ascii="Calibri Light" w:eastAsia="MS Gothic" w:hAnsi="Calibri Light" w:cs="Times New Roman"/>
      <w:i/>
      <w:iCs/>
      <w:color w:val="1F4D78"/>
    </w:rPr>
  </w:style>
  <w:style w:type="character" w:customStyle="1" w:styleId="Heading8Char1">
    <w:name w:val="Heading 8 Char1"/>
    <w:semiHidden/>
    <w:rsid w:val="00355DBD"/>
    <w:rPr>
      <w:rFonts w:ascii="Calibri Light" w:eastAsia="MS Gothic" w:hAnsi="Calibri Light" w:cs="Times New Roman"/>
      <w:color w:val="272727"/>
      <w:sz w:val="21"/>
      <w:szCs w:val="21"/>
    </w:rPr>
  </w:style>
  <w:style w:type="character" w:customStyle="1" w:styleId="Heading9Char1">
    <w:name w:val="Heading 9 Char1"/>
    <w:semiHidden/>
    <w:rsid w:val="00355DBD"/>
    <w:rPr>
      <w:rFonts w:ascii="Calibri Light" w:eastAsia="MS Gothic" w:hAnsi="Calibri Light" w:cs="Times New Roman"/>
      <w:i/>
      <w:iCs/>
      <w:color w:val="272727"/>
      <w:sz w:val="21"/>
      <w:szCs w:val="21"/>
    </w:rPr>
  </w:style>
  <w:style w:type="character" w:styleId="Hyperlink">
    <w:name w:val="Hyperlink"/>
    <w:unhideWhenUsed/>
    <w:rsid w:val="00355DBD"/>
    <w:rPr>
      <w:color w:val="0563C1"/>
      <w:u w:val="single"/>
    </w:rPr>
  </w:style>
  <w:style w:type="character" w:customStyle="1" w:styleId="TitleChar1">
    <w:name w:val="Title Char1"/>
    <w:rsid w:val="00355DBD"/>
    <w:rPr>
      <w:rFonts w:ascii="Calibri Light" w:eastAsia="MS Gothic" w:hAnsi="Calibri Light" w:cs="Times New Roman"/>
      <w:spacing w:val="-10"/>
      <w:kern w:val="28"/>
      <w:sz w:val="56"/>
      <w:szCs w:val="56"/>
    </w:rPr>
  </w:style>
  <w:style w:type="table" w:customStyle="1" w:styleId="41">
    <w:name w:val="表 (青)  41"/>
    <w:basedOn w:val="TableNormal"/>
    <w:uiPriority w:val="63"/>
    <w:semiHidden/>
    <w:unhideWhenUsed/>
    <w:rsid w:val="00355DBD"/>
    <w:rPr>
      <w:rFonts w:ascii="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1">
    <w:name w:val="表 (青)  21"/>
    <w:basedOn w:val="TableNormal"/>
    <w:uiPriority w:val="61"/>
    <w:semiHidden/>
    <w:unhideWhenUsed/>
    <w:rsid w:val="00355DBD"/>
    <w:rPr>
      <w:rFonts w:ascii="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NoSpacing">
    <w:name w:val="No Spacing"/>
    <w:rsid w:val="002C4DF3"/>
    <w:rPr>
      <w:rFonts w:ascii="Calibri" w:hAnsi="Calibri" w:cs="Times New Roman"/>
      <w:sz w:val="22"/>
      <w:szCs w:val="22"/>
    </w:rPr>
  </w:style>
  <w:style w:type="paragraph" w:styleId="BodyText">
    <w:name w:val="Body Text"/>
    <w:basedOn w:val="Normal"/>
    <w:link w:val="BodyTextChar1"/>
    <w:semiHidden/>
    <w:unhideWhenUsed/>
    <w:rsid w:val="002C4DF3"/>
    <w:pPr>
      <w:spacing w:after="120"/>
    </w:pPr>
  </w:style>
  <w:style w:type="character" w:customStyle="1" w:styleId="BodyTextChar1">
    <w:name w:val="Body Text Char1"/>
    <w:link w:val="BodyText"/>
    <w:semiHidden/>
    <w:rsid w:val="00355DBD"/>
    <w:rPr>
      <w:rFonts w:eastAsia="SimSun" w:cs="Times New Roman"/>
      <w:sz w:val="24"/>
      <w:szCs w:val="24"/>
      <w:lang w:val="en-GB"/>
    </w:rPr>
  </w:style>
  <w:style w:type="table" w:styleId="TableGrid">
    <w:name w:val="Table Grid"/>
    <w:basedOn w:val="TableNormal"/>
    <w:uiPriority w:val="39"/>
    <w:rsid w:val="00355DBD"/>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モノトーン)  41"/>
    <w:basedOn w:val="TableNormal"/>
    <w:uiPriority w:val="63"/>
    <w:semiHidden/>
    <w:unhideWhenUsed/>
    <w:rsid w:val="00355DBD"/>
    <w:rPr>
      <w:rFonts w:ascii="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55DBD"/>
    <w:rPr>
      <w:rFonts w:ascii="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51">
    <w:name w:val="表 (モノトーン)  51"/>
    <w:basedOn w:val="TableNormal"/>
    <w:uiPriority w:val="64"/>
    <w:semiHidden/>
    <w:unhideWhenUsed/>
    <w:rsid w:val="00355DBD"/>
    <w:rPr>
      <w:rFonts w:ascii="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paragraph" w:styleId="DocumentMap">
    <w:name w:val="Document Map"/>
    <w:basedOn w:val="Normal"/>
    <w:link w:val="DocumentMapChar"/>
    <w:semiHidden/>
    <w:unhideWhenUsed/>
    <w:rsid w:val="00355DBD"/>
    <w:rPr>
      <w:rFonts w:ascii="Tahoma" w:hAnsi="Tahoma"/>
      <w:sz w:val="16"/>
      <w:szCs w:val="16"/>
    </w:rPr>
  </w:style>
  <w:style w:type="character" w:customStyle="1" w:styleId="DocumentMapChar">
    <w:name w:val="Document Map Char"/>
    <w:link w:val="DocumentMap"/>
    <w:semiHidden/>
    <w:rsid w:val="00355DBD"/>
    <w:rPr>
      <w:rFonts w:ascii="Tahoma" w:eastAsia="SimSun" w:hAnsi="Tahoma" w:cs="Times New Roman"/>
      <w:sz w:val="16"/>
      <w:szCs w:val="16"/>
    </w:rPr>
  </w:style>
  <w:style w:type="paragraph" w:customStyle="1" w:styleId="bullettext0">
    <w:name w:val="bullettext"/>
    <w:basedOn w:val="Normal"/>
    <w:rsid w:val="00355DBD"/>
    <w:pPr>
      <w:spacing w:before="100" w:beforeAutospacing="1" w:after="100" w:afterAutospacing="1" w:line="240" w:lineRule="auto"/>
    </w:pPr>
    <w:rPr>
      <w:rFonts w:ascii="Calibri" w:eastAsia="Times New Roman" w:hAnsi="Calibri" w:cs="Calibri"/>
      <w:sz w:val="22"/>
      <w:szCs w:val="22"/>
    </w:rPr>
  </w:style>
  <w:style w:type="paragraph" w:customStyle="1" w:styleId="Default">
    <w:name w:val="Default"/>
    <w:rsid w:val="00B3199A"/>
    <w:pPr>
      <w:autoSpaceDE w:val="0"/>
      <w:autoSpaceDN w:val="0"/>
      <w:adjustRightInd w:val="0"/>
    </w:pPr>
    <w:rPr>
      <w:rFonts w:ascii="Times New Roman" w:eastAsia="Calibri" w:hAnsi="Times New Roman" w:cs="Times New Roman"/>
      <w:color w:val="000000"/>
      <w:sz w:val="24"/>
      <w:szCs w:val="24"/>
    </w:rPr>
  </w:style>
  <w:style w:type="table" w:customStyle="1" w:styleId="GridTable2-Accent11">
    <w:name w:val="Grid Table 2 - Accent 11"/>
    <w:basedOn w:val="TableNormal"/>
    <w:uiPriority w:val="47"/>
    <w:rsid w:val="00355DBD"/>
    <w:rPr>
      <w:rFonts w:ascii="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yiv1730293447ydpb832a5acpersonname">
    <w:name w:val="yiv1730293447ydpb832a5acpersonname"/>
    <w:rsid w:val="00355DBD"/>
  </w:style>
  <w:style w:type="table" w:customStyle="1" w:styleId="GridTable2-Accent110">
    <w:name w:val="Grid Table 2 - Accent 11"/>
    <w:basedOn w:val="TableNormal"/>
    <w:uiPriority w:val="47"/>
    <w:rsid w:val="00355DBD"/>
    <w:rPr>
      <w:rFonts w:ascii="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Strong">
    <w:name w:val="Strong"/>
    <w:rsid w:val="00355DBD"/>
    <w:rPr>
      <w:b/>
      <w:bCs/>
    </w:rPr>
  </w:style>
  <w:style w:type="table" w:customStyle="1" w:styleId="GridTable2-Accent12">
    <w:name w:val="Grid Table 2 - Accent 12"/>
    <w:basedOn w:val="TableNormal"/>
    <w:uiPriority w:val="47"/>
    <w:rsid w:val="00440CD4"/>
    <w:rPr>
      <w:rFonts w:ascii="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グリッド (表) 2 - アクセント 11"/>
    <w:basedOn w:val="TableNormal"/>
    <w:next w:val="GridTable2-Accent11"/>
    <w:uiPriority w:val="47"/>
    <w:rsid w:val="00440CD4"/>
    <w:rPr>
      <w:rFonts w:ascii="Century" w:hAnsi="Century" w:cs="Times New Roman"/>
      <w:sz w:val="22"/>
      <w:szCs w:val="22"/>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nhideWhenUsed/>
    <w:qFormat/>
    <w:rsid w:val="00AC356D"/>
    <w:pPr>
      <w:pBdr>
        <w:top w:val="nil"/>
        <w:left w:val="nil"/>
        <w:bottom w:val="nil"/>
        <w:right w:val="nil"/>
        <w:between w:val="nil"/>
      </w:pBdr>
      <w:spacing w:after="200" w:line="240" w:lineRule="auto"/>
    </w:pPr>
    <w:rPr>
      <w:rFonts w:eastAsia="Cambria" w:cs="Cambria"/>
      <w:iCs/>
      <w:color w:val="2F5496" w:themeColor="accent1" w:themeShade="BF"/>
      <w:sz w:val="22"/>
      <w:szCs w:val="22"/>
      <w:lang w:eastAsia="en-GB"/>
    </w:rPr>
  </w:style>
  <w:style w:type="character" w:customStyle="1" w:styleId="UnresolvedMention1">
    <w:name w:val="Unresolved Mention1"/>
    <w:basedOn w:val="DefaultParagraphFont"/>
    <w:semiHidden/>
    <w:unhideWhenUsed/>
    <w:rsid w:val="00CF3711"/>
    <w:rPr>
      <w:color w:val="808080"/>
      <w:shd w:val="clear" w:color="auto" w:fill="E6E6E6"/>
    </w:rPr>
  </w:style>
  <w:style w:type="table" w:customStyle="1" w:styleId="TableGrid2">
    <w:name w:val="Table Grid2"/>
    <w:basedOn w:val="TableNormal"/>
    <w:next w:val="TableGrid"/>
    <w:uiPriority w:val="39"/>
    <w:rsid w:val="007B1C0E"/>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72527"/>
    <w:rPr>
      <w:color w:val="954F72" w:themeColor="followedHyperlink"/>
      <w:u w:val="single"/>
    </w:rPr>
  </w:style>
  <w:style w:type="character" w:customStyle="1" w:styleId="A2">
    <w:name w:val="A2"/>
    <w:rsid w:val="00830149"/>
    <w:rPr>
      <w:rFonts w:cs="Frutiger LT Pro 57 Condensed"/>
      <w:color w:val="211D1E"/>
      <w:sz w:val="16"/>
      <w:szCs w:val="16"/>
    </w:rPr>
  </w:style>
  <w:style w:type="character" w:customStyle="1" w:styleId="UnresolvedMention2">
    <w:name w:val="Unresolved Mention2"/>
    <w:basedOn w:val="DefaultParagraphFont"/>
    <w:semiHidden/>
    <w:unhideWhenUsed/>
    <w:rsid w:val="000056BB"/>
    <w:rPr>
      <w:color w:val="605E5C"/>
      <w:shd w:val="clear" w:color="auto" w:fill="E1DFDD"/>
    </w:rPr>
  </w:style>
  <w:style w:type="paragraph" w:styleId="HTMLPreformatted">
    <w:name w:val="HTML Preformatted"/>
    <w:basedOn w:val="Normal"/>
    <w:link w:val="HTMLPreformattedChar"/>
    <w:uiPriority w:val="99"/>
    <w:semiHidden/>
    <w:unhideWhenUsed/>
    <w:rsid w:val="00005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056BB"/>
    <w:rPr>
      <w:rFonts w:ascii="Courier New" w:eastAsia="Times New Roman" w:hAnsi="Courier New" w:cs="Courier New"/>
      <w:lang w:val="en-GB" w:eastAsia="en-GB"/>
    </w:rPr>
  </w:style>
  <w:style w:type="paragraph" w:customStyle="1" w:styleId="TabHeader">
    <w:name w:val="Tab Header"/>
    <w:basedOn w:val="Normal"/>
    <w:qFormat/>
    <w:rsid w:val="000056BB"/>
    <w:pPr>
      <w:spacing w:before="60" w:after="80"/>
      <w:jc w:val="center"/>
    </w:pPr>
    <w:rPr>
      <w:rFonts w:ascii="Calibri" w:hAnsi="Calibri"/>
      <w:b/>
      <w:sz w:val="20"/>
      <w:lang w:eastAsia="zh-CN"/>
    </w:rPr>
  </w:style>
  <w:style w:type="paragraph" w:customStyle="1" w:styleId="Refssub-heading">
    <w:name w:val="Refs sub-heading"/>
    <w:basedOn w:val="Heading1"/>
    <w:rsid w:val="000056BB"/>
    <w:pPr>
      <w:numPr>
        <w:numId w:val="12"/>
      </w:numPr>
    </w:pPr>
  </w:style>
  <w:style w:type="character" w:customStyle="1" w:styleId="gissauthor">
    <w:name w:val="gissauthor"/>
    <w:basedOn w:val="DefaultParagraphFont"/>
    <w:rsid w:val="00066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041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environment/archives/cafe/activities/cba.htm" TargetMode="External"/><Relationship Id="rId21" Type="http://schemas.openxmlformats.org/officeDocument/2006/relationships/hyperlink" Target="https://doi.org/10.1080/00022470.1967.10468947" TargetMode="External"/><Relationship Id="rId42" Type="http://schemas.openxmlformats.org/officeDocument/2006/relationships/hyperlink" Target="http://www.gci.org.uk/endorsements_UK_Climate_Act.html" TargetMode="External"/><Relationship Id="rId47" Type="http://schemas.openxmlformats.org/officeDocument/2006/relationships/hyperlink" Target="https://news.mongabay.com/2018/01/study-on-economic-loss-from-indonesias-peat-policies-criticized/" TargetMode="External"/><Relationship Id="rId63" Type="http://schemas.openxmlformats.org/officeDocument/2006/relationships/hyperlink" Target="https://doi.org/10.1088/1748-9326/11/9/094023" TargetMode="External"/><Relationship Id="rId68" Type="http://schemas.openxmlformats.org/officeDocument/2006/relationships/hyperlink" Target="https://doi.org/10.1068/c0797j" TargetMode="External"/><Relationship Id="rId84" Type="http://schemas.openxmlformats.org/officeDocument/2006/relationships/hyperlink" Target="https://doi.org/10.5194/acp-16-11711-2016" TargetMode="External"/><Relationship Id="rId89" Type="http://schemas.openxmlformats.org/officeDocument/2006/relationships/hyperlink" Target="https://www.theccc.org.uk/wp-content/uploads/2017/06/2017-Report-to-Parliament-Meeting-Carbon-Budgets-Closing-the-policy-gap.pdf" TargetMode="External"/><Relationship Id="rId16" Type="http://schemas.openxmlformats.org/officeDocument/2006/relationships/image" Target="media/image4.jp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eea.europa.eu/publications/air-quality-in-europe-2017/at_download/file" TargetMode="External"/><Relationship Id="rId37" Type="http://schemas.openxmlformats.org/officeDocument/2006/relationships/hyperlink" Target="https://doi.org/10.1088/1748-9326/10/7/075004" TargetMode="External"/><Relationship Id="rId53" Type="http://schemas.openxmlformats.org/officeDocument/2006/relationships/hyperlink" Target="https://www.ipcc.ch/pdf/assessment-report/ar5/syr/AR5_SYR_FINAL_All_Topics.pdf" TargetMode="External"/><Relationship Id="rId58" Type="http://schemas.openxmlformats.org/officeDocument/2006/relationships/hyperlink" Target="https://doi.org/10.1080/0376835X.2017.1335592" TargetMode="External"/><Relationship Id="rId74" Type="http://schemas.openxmlformats.org/officeDocument/2006/relationships/hyperlink" Target="https://doi.org/10.1021/acsnano.6b07673" TargetMode="External"/><Relationship Id="rId79" Type="http://schemas.openxmlformats.org/officeDocument/2006/relationships/hyperlink" Target="https://www.adb.org/sites/default/files/publication/28035/fire-smoke-haze.pdf" TargetMode="External"/><Relationship Id="rId102" Type="http://schemas.openxmlformats.org/officeDocument/2006/relationships/hyperlink" Target="http://www.who.int/iris/bitstream/10665/250141/1/9789241511353-eng.pdf?ua=1" TargetMode="External"/><Relationship Id="rId5" Type="http://schemas.openxmlformats.org/officeDocument/2006/relationships/webSettings" Target="webSettings.xml"/><Relationship Id="rId90" Type="http://schemas.openxmlformats.org/officeDocument/2006/relationships/hyperlink" Target="https://uk-air.defra.gov.uk/forecasting/" TargetMode="External"/><Relationship Id="rId95" Type="http://schemas.openxmlformats.org/officeDocument/2006/relationships/hyperlink" Target="http://www.rrcap.ait.asia/Publications/Air_pollution_book.pdf" TargetMode="External"/><Relationship Id="rId22" Type="http://schemas.openxmlformats.org/officeDocument/2006/relationships/hyperlink" Target="https://doi.org/10.1016/S1352-2310(00)00523-9" TargetMode="External"/><Relationship Id="rId27" Type="http://schemas.openxmlformats.org/officeDocument/2006/relationships/hyperlink" Target="https://ec.europa.eu/clima/sites/clima/files/transport/vehicles/docs/evaluation_ldv_co2_regs_en.pdf" TargetMode="External"/><Relationship Id="rId43" Type="http://schemas.openxmlformats.org/officeDocument/2006/relationships/hyperlink" Target="http://www.who.int/ceh/publications/en/atlas.pdf?ua=1" TargetMode="External"/><Relationship Id="rId48" Type="http://schemas.openxmlformats.org/officeDocument/2006/relationships/hyperlink" Target="http://haze.asean.org/%20about-us/information-on-fire-and-haze/" TargetMode="External"/><Relationship Id="rId64" Type="http://schemas.openxmlformats.org/officeDocument/2006/relationships/hyperlink" Target="https://doi.org/10.1016/j.erss.2014.12.012" TargetMode="External"/><Relationship Id="rId69" Type="http://schemas.openxmlformats.org/officeDocument/2006/relationships/hyperlink" Target="http://www.unece.org/fileadmin/DAM/env/documents/2016/AIR/Publications/CLRTAP_Scientific_Assessment_Report_-_Final_20-5-2016.pdf" TargetMode="External"/><Relationship Id="rId80" Type="http://schemas.openxmlformats.org/officeDocument/2006/relationships/hyperlink" Target="http://www4.unfccc.int/Submissions/INDC/Published%20Documents/Indonesia/1/INDC_REPUBLIC%20OF%20INDONESIA.pdf" TargetMode="External"/><Relationship Id="rId85" Type="http://schemas.openxmlformats.org/officeDocument/2006/relationships/hyperlink" Target="https://www.springer.com/gp/book/9781402091209" TargetMode="External"/><Relationship Id="rId12" Type="http://schemas.openxmlformats.org/officeDocument/2006/relationships/hyperlink" Target="https://www.greenclimate.fund/documents/20182/893456/19770_-_Promotion_of_Climate-Friendly_Cooking_Bangladesh__Kenya_and_Senegal.pdf/182dcd09-ce3e-9b71-9be9-dea0e7dfbd4c" TargetMode="External"/><Relationship Id="rId17" Type="http://schemas.openxmlformats.org/officeDocument/2006/relationships/hyperlink" Target="http://www.scottishairquality.co.uk/know-and-respond/" TargetMode="External"/><Relationship Id="rId33" Type="http://schemas.openxmlformats.org/officeDocument/2006/relationships/hyperlink" Target="https://eur-lex.europa.eu/legal-content/EN/TXT/PDF/?uri=CELEX:32015R1185&amp;from=EN" TargetMode="External"/><Relationship Id="rId38" Type="http://schemas.openxmlformats.org/officeDocument/2006/relationships/hyperlink" Target="http://cleancookstoves.org/binary-data/RESOURCE/file/000/000/158-1.pdf" TargetMode="External"/><Relationship Id="rId59" Type="http://schemas.openxmlformats.org/officeDocument/2006/relationships/hyperlink" Target="https://doi.org/10.1007/s10653-015-9720-1" TargetMode="External"/><Relationship Id="rId103" Type="http://schemas.openxmlformats.org/officeDocument/2006/relationships/hyperlink" Target="http://d2ouvy59p0dg6k.cloudfront.net/downloads/wwf_forest_practice_report_hlpf_2018__forests_and_sustainable_development___the_role_of_.pdf" TargetMode="External"/><Relationship Id="rId20" Type="http://schemas.openxmlformats.org/officeDocument/2006/relationships/hyperlink" Target="https://doi.org/10.1016/j.trd.2017.12.014" TargetMode="External"/><Relationship Id="rId41" Type="http://schemas.openxmlformats.org/officeDocument/2006/relationships/hyperlink" Target="http://cleancookstoves.org/country-profiles/focus-countries/4-kenya.html" TargetMode="External"/><Relationship Id="rId54" Type="http://schemas.openxmlformats.org/officeDocument/2006/relationships/hyperlink" Target="https://www.oecd-ilibrary.org/docserver/co2_fuel-2016-en.pdf?expires=1541330155&amp;id=id&amp;accname=ocid195767&amp;checksum=B4C10B7629C3B96202B183CE7A93E533" TargetMode="External"/><Relationship Id="rId62" Type="http://schemas.openxmlformats.org/officeDocument/2006/relationships/hyperlink" Target="https://kepsa.or.ke/download/draft-strategy-and-action-plan-for-bioenergy-and-lpg-development-in-kenya/?wpdmdl=12841" TargetMode="External"/><Relationship Id="rId70" Type="http://schemas.openxmlformats.org/officeDocument/2006/relationships/hyperlink" Target="https://www.rti.org/sites/default/files/resources/rti-publication-file-83190b2b-f906-414b-9709-8bf84f88b367.pdf" TargetMode="External"/><Relationship Id="rId75" Type="http://schemas.openxmlformats.org/officeDocument/2006/relationships/hyperlink" Target="https://doi.org/10.5194/acp-13-1853-2013" TargetMode="External"/><Relationship Id="rId83" Type="http://schemas.openxmlformats.org/officeDocument/2006/relationships/hyperlink" Target="https://doi.org/10.1186/1471-2458-12-359" TargetMode="External"/><Relationship Id="rId88" Type="http://schemas.openxmlformats.org/officeDocument/2006/relationships/hyperlink" Target="https://www.gov.uk/guidance/carbon-budgets" TargetMode="External"/><Relationship Id="rId91" Type="http://schemas.openxmlformats.org/officeDocument/2006/relationships/hyperlink" Target="https://www.gov.uk/government/uploads/system/uploads/attachment_data/file/47621/1358-the-carbon-plan.pdf" TargetMode="External"/><Relationship Id="rId96" Type="http://schemas.openxmlformats.org/officeDocument/2006/relationships/hyperlink" Target="http://ozone.unep.org/countries/da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doi.org/10.1002/jgrd.50171" TargetMode="External"/><Relationship Id="rId28" Type="http://schemas.openxmlformats.org/officeDocument/2006/relationships/hyperlink" Target="http://ec.europa.eu/environment/industry/stationary/ied/legislation.htm" TargetMode="External"/><Relationship Id="rId36" Type="http://schemas.openxmlformats.org/officeDocument/2006/relationships/hyperlink" Target="https://www.theicct.org/sites/default/files/publications/ICCT_PEMS-study_diesel-cars_20141010.pdf" TargetMode="External"/><Relationship Id="rId49" Type="http://schemas.openxmlformats.org/officeDocument/2006/relationships/hyperlink" Target="https://haze.asean.org/" TargetMode="External"/><Relationship Id="rId57" Type="http://schemas.openxmlformats.org/officeDocument/2006/relationships/hyperlink" Target="http://www.kdheks.gov/brfss/PDF/cste_report_final.pdf" TargetMode="External"/><Relationship Id="rId106" Type="http://schemas.openxmlformats.org/officeDocument/2006/relationships/fontTable" Target="fontTable.xml"/><Relationship Id="rId10" Type="http://schemas.openxmlformats.org/officeDocument/2006/relationships/hyperlink" Target="https://en.wikipedia.org/wiki/Cap_and_trade" TargetMode="External"/><Relationship Id="rId31" Type="http://schemas.openxmlformats.org/officeDocument/2006/relationships/hyperlink" Target="https://www.eea.europa.eu/publications/explaining-road-transport-emissions/at_download/file" TargetMode="External"/><Relationship Id="rId44" Type="http://schemas.openxmlformats.org/officeDocument/2006/relationships/hyperlink" Target="https://www.greenclimate.fund/documents/20182/893456/19770_-_Promotion_of_Climate-Friendly_Cooking_Bangladesh__Kenya_and_Senegal.pdf" TargetMode="External"/><Relationship Id="rId52" Type="http://schemas.openxmlformats.org/officeDocument/2006/relationships/hyperlink" Target="https://www.bbc.com/news/business-34324772" TargetMode="External"/><Relationship Id="rId60" Type="http://schemas.openxmlformats.org/officeDocument/2006/relationships/hyperlink" Target="http://www.starckplus.com/documents/ta/ndc/NDC%20Sector%20Analysis%20Report%202017.pdf" TargetMode="External"/><Relationship Id="rId65" Type="http://schemas.openxmlformats.org/officeDocument/2006/relationships/hyperlink" Target="https://doi.org/10.1016/S2468-2667(16)30023-8" TargetMode="External"/><Relationship Id="rId73" Type="http://schemas.openxmlformats.org/officeDocument/2006/relationships/hyperlink" Target="https://doi.org/10.1080/02770900600567114" TargetMode="External"/><Relationship Id="rId78" Type="http://schemas.openxmlformats.org/officeDocument/2006/relationships/hyperlink" Target="https://doi.org/10.1371/journal.pone.0165529" TargetMode="External"/><Relationship Id="rId81" Type="http://schemas.openxmlformats.org/officeDocument/2006/relationships/hyperlink" Target="https://doi.org/10.1016/j.amepre.2008.08.020" TargetMode="External"/><Relationship Id="rId86" Type="http://schemas.openxmlformats.org/officeDocument/2006/relationships/hyperlink" Target="https://doi.org/10.1016/j.teac.2016.06.001" TargetMode="External"/><Relationship Id="rId94" Type="http://schemas.openxmlformats.org/officeDocument/2006/relationships/hyperlink" Target="http://www.unece.org/environmental-policy/conventions/envlrtapwelcome/guidance-documents-and-other-methodological-materials/gothenburg-protocol.html" TargetMode="External"/><Relationship Id="rId99" Type="http://schemas.openxmlformats.org/officeDocument/2006/relationships/hyperlink" Target="https://www.winrock.org/wp-content/uploads/2017/09/Winrock_Cookstove_final_reduced.pdf" TargetMode="External"/><Relationship Id="rId101" Type="http://schemas.openxmlformats.org/officeDocument/2006/relationships/hyperlink" Target="http://documents.worldbank.org/curated/en/776101467990969768/pdf/103668-BRI-Cost-of-Fires-Knowledge-Note-PUBLIC-ADD-NEW-SERIES-Indonesia-Sustainable-Landscapes-Knowledge-Note.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openaq.org)" TargetMode="External"/><Relationship Id="rId18" Type="http://schemas.openxmlformats.org/officeDocument/2006/relationships/hyperlink" Target="https://doi.org/10.12688/f1000research.7552.1" TargetMode="External"/><Relationship Id="rId39" Type="http://schemas.openxmlformats.org/officeDocument/2006/relationships/hyperlink" Target="http://cleancookstoves.org/resources_files/kenya-market-assessment-mapping.pdf" TargetMode="External"/><Relationship Id="rId34" Type="http://schemas.openxmlformats.org/officeDocument/2006/relationships/hyperlink" Target="https://eur-lex.europa.eu/legal-content/EN/TXT/?uri=CELEX%3A32016R0427" TargetMode="External"/><Relationship Id="rId50" Type="http://schemas.openxmlformats.org/officeDocument/2006/relationships/hyperlink" Target="https://www.stateofglobalair.org/sites/default/files/SoGA2017_report.pdf" TargetMode="External"/><Relationship Id="rId55" Type="http://schemas.openxmlformats.org/officeDocument/2006/relationships/hyperlink" Target="https://www.iea.org/statistics/relateddatabases/energybalancesofoecdcountries/" TargetMode="External"/><Relationship Id="rId76" Type="http://schemas.openxmlformats.org/officeDocument/2006/relationships/hyperlink" Target="https://doi.org/10.21315/ijaps2017.13.1.4" TargetMode="External"/><Relationship Id="rId97" Type="http://schemas.openxmlformats.org/officeDocument/2006/relationships/hyperlink" Target="https://unfccc.int/news/china-to-launch-world-s-largest-emissions-trading-system"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016/j.reseneeco.2006.02.002" TargetMode="External"/><Relationship Id="rId92" Type="http://schemas.openxmlformats.org/officeDocument/2006/relationships/hyperlink" Target="http://www.legislation.gov.uk/ukpga/2008/27/pdfs/ukpga_20080027_en.pdf" TargetMode="External"/><Relationship Id="rId2" Type="http://schemas.openxmlformats.org/officeDocument/2006/relationships/numbering" Target="numbering.xml"/><Relationship Id="rId29" Type="http://schemas.openxmlformats.org/officeDocument/2006/relationships/hyperlink" Target="https://www.eea.europa.eu/publications/term-report-2015/download" TargetMode="External"/><Relationship Id="rId24" Type="http://schemas.openxmlformats.org/officeDocument/2006/relationships/hyperlink" Target="https://www.carbonmarketdata.com/en/products/world-ets-database/presentation" TargetMode="External"/><Relationship Id="rId40" Type="http://schemas.openxmlformats.org/officeDocument/2006/relationships/hyperlink" Target="http://cleancookstoves.org/resources_files/kenya-country-action-plan.pdf" TargetMode="External"/><Relationship Id="rId45" Type="http://schemas.openxmlformats.org/officeDocument/2006/relationships/hyperlink" Target="https://doi.org/10.1016/j.atmosenv.2009.01.019" TargetMode="External"/><Relationship Id="rId66" Type="http://schemas.openxmlformats.org/officeDocument/2006/relationships/hyperlink" Target="https://doi.org/10.1038/535029a" TargetMode="External"/><Relationship Id="rId87" Type="http://schemas.openxmlformats.org/officeDocument/2006/relationships/hyperlink" Target="https://assets.publishing.service.gov.uk/government/uploads/system/uploads/attachment_data/file/243268/7124.pdf" TargetMode="External"/><Relationship Id="rId61" Type="http://schemas.openxmlformats.org/officeDocument/2006/relationships/hyperlink" Target="https://www.seforall.org/sites/default/files/Kenya_AA_EN_Released.pdf" TargetMode="External"/><Relationship Id="rId82" Type="http://schemas.openxmlformats.org/officeDocument/2006/relationships/hyperlink" Target="http://doi.org/10.1111/rssc.12227" TargetMode="External"/><Relationship Id="rId19" Type="http://schemas.openxmlformats.org/officeDocument/2006/relationships/hyperlink" Target="http://staging.unep.org/documents/APCAP%20Brochure%208%20October%202015.pdf" TargetMode="External"/><Relationship Id="rId14" Type="http://schemas.openxmlformats.org/officeDocument/2006/relationships/image" Target="media/image2.jpg"/><Relationship Id="rId30" Type="http://schemas.openxmlformats.org/officeDocument/2006/relationships/hyperlink" Target="https://www.eea.europa.eu/publications/air-quality-in-europe-2016/at_download/file" TargetMode="External"/><Relationship Id="rId35" Type="http://schemas.openxmlformats.org/officeDocument/2006/relationships/hyperlink" Target="http://www.fao.org/faostat/en/" TargetMode="External"/><Relationship Id="rId56" Type="http://schemas.openxmlformats.org/officeDocument/2006/relationships/hyperlink" Target="http://www.imo.org/en/OurWork/Environment/PollutionPrevention/AirPollution/Pages/Air-Pollution.aspx" TargetMode="External"/><Relationship Id="rId77" Type="http://schemas.openxmlformats.org/officeDocument/2006/relationships/hyperlink" Target="https://www.nber.org/papers/w14209.pdf" TargetMode="External"/><Relationship Id="rId100" Type="http://schemas.openxmlformats.org/officeDocument/2006/relationships/hyperlink" Target="https://doi.org/10.1016/j.scs.2015.04.006" TargetMode="External"/><Relationship Id="rId105"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doi.org/10.1002/pam.10095" TargetMode="External"/><Relationship Id="rId72" Type="http://schemas.openxmlformats.org/officeDocument/2006/relationships/hyperlink" Target="https://www3.epa.gov/ttnecas1/regdata/Benefits/influence_analysis_final_report_psg.pdf" TargetMode="External"/><Relationship Id="rId93" Type="http://schemas.openxmlformats.org/officeDocument/2006/relationships/hyperlink" Target="https://www.un.org/sustainabledevelopment/home/" TargetMode="External"/><Relationship Id="rId98" Type="http://schemas.openxmlformats.org/officeDocument/2006/relationships/hyperlink" Target="https://unfccc.int/process/transparency-and-reporting/greenhouse-gas-data/ghg-data-unfccc" TargetMode="External"/><Relationship Id="rId3" Type="http://schemas.openxmlformats.org/officeDocument/2006/relationships/styles" Target="styles.xml"/><Relationship Id="rId25" Type="http://schemas.openxmlformats.org/officeDocument/2006/relationships/hyperlink" Target="https://doi.org/10.1016/S2468-2667(16)30021-4" TargetMode="External"/><Relationship Id="rId46" Type="http://schemas.openxmlformats.org/officeDocument/2006/relationships/hyperlink" Target="https://www.researchgate.net/profile/Cristina_Guerreiro/publication/260600537_Status_and_trends_of_NO2_ambient_concentrations_in_Europe/links/5433a1070cf22395f29e1e57/Status-and-trends-of-NO2-ambient-concentrations-in-Europe.pdf" TargetMode="External"/><Relationship Id="rId67" Type="http://schemas.openxmlformats.org/officeDocument/2006/relationships/hyperlink" Target="https://doi.org/10.1016/S0140-6736(12)617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B7FF7-3099-4BDA-A501-0D42F1C0D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16689</Words>
  <Characters>95128</Characters>
  <Application>Microsoft Office Word</Application>
  <DocSecurity>0</DocSecurity>
  <Lines>792</Lines>
  <Paragraphs>223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111594</CharactersWithSpaces>
  <SharedDoc>false</SharedDoc>
  <HLinks>
    <vt:vector size="690" baseType="variant">
      <vt:variant>
        <vt:i4>65630</vt:i4>
      </vt:variant>
      <vt:variant>
        <vt:i4>819</vt:i4>
      </vt:variant>
      <vt:variant>
        <vt:i4>0</vt:i4>
      </vt:variant>
      <vt:variant>
        <vt:i4>5</vt:i4>
      </vt:variant>
      <vt:variant>
        <vt:lpwstr>https://www.ncbi.nlm.nih.gov/pubmed/25343779</vt:lpwstr>
      </vt:variant>
      <vt:variant>
        <vt:lpwstr/>
      </vt:variant>
      <vt:variant>
        <vt:i4>3801103</vt:i4>
      </vt:variant>
      <vt:variant>
        <vt:i4>813</vt:i4>
      </vt:variant>
      <vt:variant>
        <vt:i4>0</vt:i4>
      </vt:variant>
      <vt:variant>
        <vt:i4>5</vt:i4>
      </vt:variant>
      <vt:variant>
        <vt:lpwstr>https://www.winrock.org/wp-content/uploads/2017/09/Winrock_Cookstove_final_reduced.pdf</vt:lpwstr>
      </vt:variant>
      <vt:variant>
        <vt:lpwstr/>
      </vt:variant>
      <vt:variant>
        <vt:i4>2293800</vt:i4>
      </vt:variant>
      <vt:variant>
        <vt:i4>807</vt:i4>
      </vt:variant>
      <vt:variant>
        <vt:i4>0</vt:i4>
      </vt:variant>
      <vt:variant>
        <vt:i4>5</vt:i4>
      </vt:variant>
      <vt:variant>
        <vt:lpwstr>https://wedocs.unep.org/bitstream/handle/20.500.11822/9965/Synergies-and-NBSAPs.pdf?sequence=1&amp;isAllowed=y</vt:lpwstr>
      </vt:variant>
      <vt:variant>
        <vt:lpwstr/>
      </vt:variant>
      <vt:variant>
        <vt:i4>8061043</vt:i4>
      </vt:variant>
      <vt:variant>
        <vt:i4>801</vt:i4>
      </vt:variant>
      <vt:variant>
        <vt:i4>0</vt:i4>
      </vt:variant>
      <vt:variant>
        <vt:i4>5</vt:i4>
      </vt:variant>
      <vt:variant>
        <vt:lpwstr>http://www.sacep.org/pdf/Male-Declaration-Publications/2010-Air-pollution-book-Male-Declaration.pdf</vt:lpwstr>
      </vt:variant>
      <vt:variant>
        <vt:lpwstr/>
      </vt:variant>
      <vt:variant>
        <vt:i4>6160469</vt:i4>
      </vt:variant>
      <vt:variant>
        <vt:i4>795</vt:i4>
      </vt:variant>
      <vt:variant>
        <vt:i4>0</vt:i4>
      </vt:variant>
      <vt:variant>
        <vt:i4>5</vt:i4>
      </vt:variant>
      <vt:variant>
        <vt:lpwstr>http://www.unescap.org/publications/transformations-sustainable-development-promoting-environmental-sustainab</vt:lpwstr>
      </vt:variant>
      <vt:variant>
        <vt:lpwstr/>
      </vt:variant>
      <vt:variant>
        <vt:i4>3473527</vt:i4>
      </vt:variant>
      <vt:variant>
        <vt:i4>789</vt:i4>
      </vt:variant>
      <vt:variant>
        <vt:i4>0</vt:i4>
      </vt:variant>
      <vt:variant>
        <vt:i4>5</vt:i4>
      </vt:variant>
      <vt:variant>
        <vt:lpwstr>http://www.un.org/sustainabledevelopment/sustainable-development-goals/</vt:lpwstr>
      </vt:variant>
      <vt:variant>
        <vt:lpwstr/>
      </vt:variant>
      <vt:variant>
        <vt:i4>6160465</vt:i4>
      </vt:variant>
      <vt:variant>
        <vt:i4>783</vt:i4>
      </vt:variant>
      <vt:variant>
        <vt:i4>0</vt:i4>
      </vt:variant>
      <vt:variant>
        <vt:i4>5</vt:i4>
      </vt:variant>
      <vt:variant>
        <vt:lpwstr>https://bmcpublichealth.biomedcentral.com/track/pdf/10.1186/1471-2458-12-359</vt:lpwstr>
      </vt:variant>
      <vt:variant>
        <vt:lpwstr/>
      </vt:variant>
      <vt:variant>
        <vt:i4>5308498</vt:i4>
      </vt:variant>
      <vt:variant>
        <vt:i4>777</vt:i4>
      </vt:variant>
      <vt:variant>
        <vt:i4>0</vt:i4>
      </vt:variant>
      <vt:variant>
        <vt:i4>5</vt:i4>
      </vt:variant>
      <vt:variant>
        <vt:lpwstr>http://journals.sagepub.com/doi/pdf/10.1068/b130140p</vt:lpwstr>
      </vt:variant>
      <vt:variant>
        <vt:lpwstr/>
      </vt:variant>
      <vt:variant>
        <vt:i4>6881337</vt:i4>
      </vt:variant>
      <vt:variant>
        <vt:i4>771</vt:i4>
      </vt:variant>
      <vt:variant>
        <vt:i4>0</vt:i4>
      </vt:variant>
      <vt:variant>
        <vt:i4>5</vt:i4>
      </vt:variant>
      <vt:variant>
        <vt:lpwstr>https://www.theicct.org/sites/default/files/publications/ICCT_LDVcostsreport_2012.pdf</vt:lpwstr>
      </vt:variant>
      <vt:variant>
        <vt:lpwstr/>
      </vt:variant>
      <vt:variant>
        <vt:i4>6553688</vt:i4>
      </vt:variant>
      <vt:variant>
        <vt:i4>765</vt:i4>
      </vt:variant>
      <vt:variant>
        <vt:i4>0</vt:i4>
      </vt:variant>
      <vt:variant>
        <vt:i4>5</vt:i4>
      </vt:variant>
      <vt:variant>
        <vt:lpwstr>http://www4.unfccc.int/Submissions/INDC/Published Documents/Indonesia/1/INDC_REPUBLIC OF INDON</vt:lpwstr>
      </vt:variant>
      <vt:variant>
        <vt:lpwstr/>
      </vt:variant>
      <vt:variant>
        <vt:i4>65628</vt:i4>
      </vt:variant>
      <vt:variant>
        <vt:i4>759</vt:i4>
      </vt:variant>
      <vt:variant>
        <vt:i4>0</vt:i4>
      </vt:variant>
      <vt:variant>
        <vt:i4>5</vt:i4>
      </vt:variant>
      <vt:variant>
        <vt:lpwstr>https://www.ncbi.nlm.nih.gov/pubmed/28341576</vt:lpwstr>
      </vt:variant>
      <vt:variant>
        <vt:lpwstr/>
      </vt:variant>
      <vt:variant>
        <vt:i4>6225929</vt:i4>
      </vt:variant>
      <vt:variant>
        <vt:i4>753</vt:i4>
      </vt:variant>
      <vt:variant>
        <vt:i4>0</vt:i4>
      </vt:variant>
      <vt:variant>
        <vt:i4>5</vt:i4>
      </vt:variant>
      <vt:variant>
        <vt:lpwstr>https://www.adb.org/sites/default/files/publication/28035/fire-smoke-haze.pdf</vt:lpwstr>
      </vt:variant>
      <vt:variant>
        <vt:lpwstr/>
      </vt:variant>
      <vt:variant>
        <vt:i4>4390916</vt:i4>
      </vt:variant>
      <vt:variant>
        <vt:i4>747</vt:i4>
      </vt:variant>
      <vt:variant>
        <vt:i4>0</vt:i4>
      </vt:variant>
      <vt:variant>
        <vt:i4>5</vt:i4>
      </vt:variant>
      <vt:variant>
        <vt:lpwstr>https://www.ncbi.nlm.nih.gov/pmc/articles/PMC3386572/pdf/ijerph-09-01566.pdf</vt:lpwstr>
      </vt:variant>
      <vt:variant>
        <vt:lpwstr/>
      </vt:variant>
      <vt:variant>
        <vt:i4>5373998</vt:i4>
      </vt:variant>
      <vt:variant>
        <vt:i4>741</vt:i4>
      </vt:variant>
      <vt:variant>
        <vt:i4>0</vt:i4>
      </vt:variant>
      <vt:variant>
        <vt:i4>5</vt:i4>
      </vt:variant>
      <vt:variant>
        <vt:lpwstr>https://www.eea.europa.eu/publications/explaining-road-transport-emissions/at_download/file</vt:lpwstr>
      </vt:variant>
      <vt:variant>
        <vt:lpwstr/>
      </vt:variant>
      <vt:variant>
        <vt:i4>86</vt:i4>
      </vt:variant>
      <vt:variant>
        <vt:i4>735</vt:i4>
      </vt:variant>
      <vt:variant>
        <vt:i4>0</vt:i4>
      </vt:variant>
      <vt:variant>
        <vt:i4>5</vt:i4>
      </vt:variant>
      <vt:variant>
        <vt:lpwstr>http://www.pbl.nl/sites/default/files/cms/publicaties/PBL_2014_Trends_in_global_CO2_emisions_2014_1490.pdf</vt:lpwstr>
      </vt:variant>
      <vt:variant>
        <vt:lpwstr/>
      </vt:variant>
      <vt:variant>
        <vt:i4>1048658</vt:i4>
      </vt:variant>
      <vt:variant>
        <vt:i4>729</vt:i4>
      </vt:variant>
      <vt:variant>
        <vt:i4>0</vt:i4>
      </vt:variant>
      <vt:variant>
        <vt:i4>5</vt:i4>
      </vt:variant>
      <vt:variant>
        <vt:lpwstr>https://ec.europa.eu/jrc/en/publication/co2-emissions-fuel-combustion-part-iii-total-greenhouse-gas-emissions</vt:lpwstr>
      </vt:variant>
      <vt:variant>
        <vt:lpwstr/>
      </vt:variant>
      <vt:variant>
        <vt:i4>2162743</vt:i4>
      </vt:variant>
      <vt:variant>
        <vt:i4>723</vt:i4>
      </vt:variant>
      <vt:variant>
        <vt:i4>0</vt:i4>
      </vt:variant>
      <vt:variant>
        <vt:i4>5</vt:i4>
      </vt:variant>
      <vt:variant>
        <vt:lpwstr>http://iopscience.iop.org/article/10.1088/1748-9326/aa6fd0/pdf</vt:lpwstr>
      </vt:variant>
      <vt:variant>
        <vt:lpwstr/>
      </vt:variant>
      <vt:variant>
        <vt:i4>5963874</vt:i4>
      </vt:variant>
      <vt:variant>
        <vt:i4>717</vt:i4>
      </vt:variant>
      <vt:variant>
        <vt:i4>0</vt:i4>
      </vt:variant>
      <vt:variant>
        <vt:i4>5</vt:i4>
      </vt:variant>
      <vt:variant>
        <vt:lpwstr>https://www.wmo.int/pages/prog/arep/gaw/ozone_2010/documents/Ozone-Assessment-2010-complete.pdf</vt:lpwstr>
      </vt:variant>
      <vt:variant>
        <vt:lpwstr/>
      </vt:variant>
      <vt:variant>
        <vt:i4>1245266</vt:i4>
      </vt:variant>
      <vt:variant>
        <vt:i4>711</vt:i4>
      </vt:variant>
      <vt:variant>
        <vt:i4>0</vt:i4>
      </vt:variant>
      <vt:variant>
        <vt:i4>5</vt:i4>
      </vt:variant>
      <vt:variant>
        <vt:lpwstr>https://pubs.acs.org/doi/abs/10.1021/acsnano.6b07673</vt:lpwstr>
      </vt:variant>
      <vt:variant>
        <vt:lpwstr/>
      </vt:variant>
      <vt:variant>
        <vt:i4>5832798</vt:i4>
      </vt:variant>
      <vt:variant>
        <vt:i4>705</vt:i4>
      </vt:variant>
      <vt:variant>
        <vt:i4>0</vt:i4>
      </vt:variant>
      <vt:variant>
        <vt:i4>5</vt:i4>
      </vt:variant>
      <vt:variant>
        <vt:lpwstr>http://cleancookstoves.org/resources/442.html</vt:lpwstr>
      </vt:variant>
      <vt:variant>
        <vt:lpwstr/>
      </vt:variant>
      <vt:variant>
        <vt:i4>1703960</vt:i4>
      </vt:variant>
      <vt:variant>
        <vt:i4>699</vt:i4>
      </vt:variant>
      <vt:variant>
        <vt:i4>0</vt:i4>
      </vt:variant>
      <vt:variant>
        <vt:i4>5</vt:i4>
      </vt:variant>
      <vt:variant>
        <vt:lpwstr>https://www.sciencedirect.com/science/article/pii/S0973082610000311/pdfft?md5=172d8784f443bc5b2b86ba0e504</vt:lpwstr>
      </vt:variant>
      <vt:variant>
        <vt:lpwstr/>
      </vt:variant>
      <vt:variant>
        <vt:i4>3801145</vt:i4>
      </vt:variant>
      <vt:variant>
        <vt:i4>693</vt:i4>
      </vt:variant>
      <vt:variant>
        <vt:i4>0</vt:i4>
      </vt:variant>
      <vt:variant>
        <vt:i4>5</vt:i4>
      </vt:variant>
      <vt:variant>
        <vt:lpwstr>http://www.thelancet.com/journals/lanpub/article/PIIS2468-2667(16)30023-8/abstract</vt:lpwstr>
      </vt:variant>
      <vt:variant>
        <vt:lpwstr/>
      </vt:variant>
      <vt:variant>
        <vt:i4>3801145</vt:i4>
      </vt:variant>
      <vt:variant>
        <vt:i4>687</vt:i4>
      </vt:variant>
      <vt:variant>
        <vt:i4>0</vt:i4>
      </vt:variant>
      <vt:variant>
        <vt:i4>5</vt:i4>
      </vt:variant>
      <vt:variant>
        <vt:lpwstr>http://www.thelancet.com/journals/lanpub/article/PIIS2468-2667(16)30023-8/abstract</vt:lpwstr>
      </vt:variant>
      <vt:variant>
        <vt:lpwstr/>
      </vt:variant>
      <vt:variant>
        <vt:i4>7798822</vt:i4>
      </vt:variant>
      <vt:variant>
        <vt:i4>681</vt:i4>
      </vt:variant>
      <vt:variant>
        <vt:i4>0</vt:i4>
      </vt:variant>
      <vt:variant>
        <vt:i4>5</vt:i4>
      </vt:variant>
      <vt:variant>
        <vt:lpwstr>https://www.sciencedirect.com/science/article/pii/S2214629614001467/pdfft?md5=67e1b6cfcbbc1918963f6ff762422fb&amp;pid=1-s2.0-S2214629614001467-main.pdf</vt:lpwstr>
      </vt:variant>
      <vt:variant>
        <vt:lpwstr/>
      </vt:variant>
      <vt:variant>
        <vt:i4>3866704</vt:i4>
      </vt:variant>
      <vt:variant>
        <vt:i4>675</vt:i4>
      </vt:variant>
      <vt:variant>
        <vt:i4>0</vt:i4>
      </vt:variant>
      <vt:variant>
        <vt:i4>5</vt:i4>
      </vt:variant>
      <vt:variant>
        <vt:lpwstr>https://www.theicct.org/sites/default/files/publications/ICCT_G20-briefing-paper_Jun2015_updated.pdf</vt:lpwstr>
      </vt:variant>
      <vt:variant>
        <vt:lpwstr/>
      </vt:variant>
      <vt:variant>
        <vt:i4>6225997</vt:i4>
      </vt:variant>
      <vt:variant>
        <vt:i4>672</vt:i4>
      </vt:variant>
      <vt:variant>
        <vt:i4>0</vt:i4>
      </vt:variant>
      <vt:variant>
        <vt:i4>5</vt:i4>
      </vt:variant>
      <vt:variant>
        <vt:lpwstr>https://www.kenyacic.org/sites/default/files/publications/KCIC ICS-3.pdf</vt:lpwstr>
      </vt:variant>
      <vt:variant>
        <vt:lpwstr/>
      </vt:variant>
      <vt:variant>
        <vt:i4>1835076</vt:i4>
      </vt:variant>
      <vt:variant>
        <vt:i4>666</vt:i4>
      </vt:variant>
      <vt:variant>
        <vt:i4>0</vt:i4>
      </vt:variant>
      <vt:variant>
        <vt:i4>5</vt:i4>
      </vt:variant>
      <vt:variant>
        <vt:lpwstr>http://haze.asean.org/ about-us/information-on-fire-and-haze</vt:lpwstr>
      </vt:variant>
      <vt:variant>
        <vt:lpwstr/>
      </vt:variant>
      <vt:variant>
        <vt:i4>3276921</vt:i4>
      </vt:variant>
      <vt:variant>
        <vt:i4>663</vt:i4>
      </vt:variant>
      <vt:variant>
        <vt:i4>0</vt:i4>
      </vt:variant>
      <vt:variant>
        <vt:i4>5</vt:i4>
      </vt:variant>
      <vt:variant>
        <vt:lpwstr>http://iopscience.iop.org/article/10.1088/1748-9326/10/7/075004</vt:lpwstr>
      </vt:variant>
      <vt:variant>
        <vt:lpwstr/>
      </vt:variant>
      <vt:variant>
        <vt:i4>3276921</vt:i4>
      </vt:variant>
      <vt:variant>
        <vt:i4>660</vt:i4>
      </vt:variant>
      <vt:variant>
        <vt:i4>0</vt:i4>
      </vt:variant>
      <vt:variant>
        <vt:i4>5</vt:i4>
      </vt:variant>
      <vt:variant>
        <vt:lpwstr>http://iopscience.iop.org/article/10.1088/1748-9326/10/7/075004</vt:lpwstr>
      </vt:variant>
      <vt:variant>
        <vt:lpwstr/>
      </vt:variant>
      <vt:variant>
        <vt:i4>3014770</vt:i4>
      </vt:variant>
      <vt:variant>
        <vt:i4>654</vt:i4>
      </vt:variant>
      <vt:variant>
        <vt:i4>0</vt:i4>
      </vt:variant>
      <vt:variant>
        <vt:i4>5</vt:i4>
      </vt:variant>
      <vt:variant>
        <vt:lpwstr>https://www.eea.europa.eu/publications/air-quality-in-europe-2016/download</vt:lpwstr>
      </vt:variant>
      <vt:variant>
        <vt:lpwstr/>
      </vt:variant>
      <vt:variant>
        <vt:i4>1704009</vt:i4>
      </vt:variant>
      <vt:variant>
        <vt:i4>648</vt:i4>
      </vt:variant>
      <vt:variant>
        <vt:i4>0</vt:i4>
      </vt:variant>
      <vt:variant>
        <vt:i4>5</vt:i4>
      </vt:variant>
      <vt:variant>
        <vt:lpwstr>https://www.sciencedirect.com/science/article/pii/S1352231009000508/pdfft?md5=0d69dc2e0474ce9cdaaf0c6be7e779e0&amp;pid=1-s2.0-S1352231009000508-main.pdf</vt:lpwstr>
      </vt:variant>
      <vt:variant>
        <vt:lpwstr/>
      </vt:variant>
      <vt:variant>
        <vt:i4>7798833</vt:i4>
      </vt:variant>
      <vt:variant>
        <vt:i4>642</vt:i4>
      </vt:variant>
      <vt:variant>
        <vt:i4>0</vt:i4>
      </vt:variant>
      <vt:variant>
        <vt:i4>5</vt:i4>
      </vt:variant>
      <vt:variant>
        <vt:lpwstr>https://futurism.com/new-evidence-shows-that-air-pollution-causes-alzheimers-and-dementia/</vt:lpwstr>
      </vt:variant>
      <vt:variant>
        <vt:lpwstr/>
      </vt:variant>
      <vt:variant>
        <vt:i4>655448</vt:i4>
      </vt:variant>
      <vt:variant>
        <vt:i4>636</vt:i4>
      </vt:variant>
      <vt:variant>
        <vt:i4>0</vt:i4>
      </vt:variant>
      <vt:variant>
        <vt:i4>5</vt:i4>
      </vt:variant>
      <vt:variant>
        <vt:lpwstr>https://idl-bnc-idrc.dspacedirect.org/bitstream/handle/10625/22892/IDL-22892.pdf</vt:lpwstr>
      </vt:variant>
      <vt:variant>
        <vt:lpwstr/>
      </vt:variant>
      <vt:variant>
        <vt:i4>7798822</vt:i4>
      </vt:variant>
      <vt:variant>
        <vt:i4>633</vt:i4>
      </vt:variant>
      <vt:variant>
        <vt:i4>0</vt:i4>
      </vt:variant>
      <vt:variant>
        <vt:i4>5</vt:i4>
      </vt:variant>
      <vt:variant>
        <vt:lpwstr>http://cleancookstoves.org/binary-data/RESOURCE/file/000/000/158-1.pdf</vt:lpwstr>
      </vt:variant>
      <vt:variant>
        <vt:lpwstr/>
      </vt:variant>
      <vt:variant>
        <vt:i4>7602208</vt:i4>
      </vt:variant>
      <vt:variant>
        <vt:i4>627</vt:i4>
      </vt:variant>
      <vt:variant>
        <vt:i4>0</vt:i4>
      </vt:variant>
      <vt:variant>
        <vt:i4>5</vt:i4>
      </vt:variant>
      <vt:variant>
        <vt:lpwstr>http://cleancookstoves.org/binary-data/RESOURCE/file/000/000/238-1.pdf</vt:lpwstr>
      </vt:variant>
      <vt:variant>
        <vt:lpwstr/>
      </vt:variant>
      <vt:variant>
        <vt:i4>3997725</vt:i4>
      </vt:variant>
      <vt:variant>
        <vt:i4>621</vt:i4>
      </vt:variant>
      <vt:variant>
        <vt:i4>0</vt:i4>
      </vt:variant>
      <vt:variant>
        <vt:i4>5</vt:i4>
      </vt:variant>
      <vt:variant>
        <vt:lpwstr>http://cleancookstoves.org/resources_files/summary-report-kenya-global.pdf</vt:lpwstr>
      </vt:variant>
      <vt:variant>
        <vt:lpwstr/>
      </vt:variant>
      <vt:variant>
        <vt:i4>2031667</vt:i4>
      </vt:variant>
      <vt:variant>
        <vt:i4>615</vt:i4>
      </vt:variant>
      <vt:variant>
        <vt:i4>0</vt:i4>
      </vt:variant>
      <vt:variant>
        <vt:i4>5</vt:i4>
      </vt:variant>
      <vt:variant>
        <vt:lpwstr>http://cleancookstoves.org/resources_files/kenya-country-action-plan.pdf</vt:lpwstr>
      </vt:variant>
      <vt:variant>
        <vt:lpwstr/>
      </vt:variant>
      <vt:variant>
        <vt:i4>5308483</vt:i4>
      </vt:variant>
      <vt:variant>
        <vt:i4>609</vt:i4>
      </vt:variant>
      <vt:variant>
        <vt:i4>0</vt:i4>
      </vt:variant>
      <vt:variant>
        <vt:i4>5</vt:i4>
      </vt:variant>
      <vt:variant>
        <vt:lpwstr>http://documents.worldbank.org/curated/en/776101467990969768/pdf/103668-BRI-Cost-of-Fires-Knowledge-Note-</vt:lpwstr>
      </vt:variant>
      <vt:variant>
        <vt:lpwstr/>
      </vt:variant>
      <vt:variant>
        <vt:i4>1179731</vt:i4>
      </vt:variant>
      <vt:variant>
        <vt:i4>603</vt:i4>
      </vt:variant>
      <vt:variant>
        <vt:i4>0</vt:i4>
      </vt:variant>
      <vt:variant>
        <vt:i4>5</vt:i4>
      </vt:variant>
      <vt:variant>
        <vt:lpwstr>https://ec.europa.eu/clima/sites/clima/files/transport/vehicles/docs/evaluation_ldv_co2_regs_en.pdf</vt:lpwstr>
      </vt:variant>
      <vt:variant>
        <vt:lpwstr/>
      </vt:variant>
      <vt:variant>
        <vt:i4>2228310</vt:i4>
      </vt:variant>
      <vt:variant>
        <vt:i4>597</vt:i4>
      </vt:variant>
      <vt:variant>
        <vt:i4>0</vt:i4>
      </vt:variant>
      <vt:variant>
        <vt:i4>5</vt:i4>
      </vt:variant>
      <vt:variant>
        <vt:lpwstr>https://www.theicct.org/sites/default/files/publications/ICCT_PEMS-study_diesel-cars_20141010.pdf</vt:lpwstr>
      </vt:variant>
      <vt:variant>
        <vt:lpwstr/>
      </vt:variant>
      <vt:variant>
        <vt:i4>4325390</vt:i4>
      </vt:variant>
      <vt:variant>
        <vt:i4>591</vt:i4>
      </vt:variant>
      <vt:variant>
        <vt:i4>0</vt:i4>
      </vt:variant>
      <vt:variant>
        <vt:i4>5</vt:i4>
      </vt:variant>
      <vt:variant>
        <vt:lpwstr>http://www.fao.org/docrep/006/AD653E/AD653E00.HTM</vt:lpwstr>
      </vt:variant>
      <vt:variant>
        <vt:lpwstr/>
      </vt:variant>
      <vt:variant>
        <vt:i4>5439508</vt:i4>
      </vt:variant>
      <vt:variant>
        <vt:i4>585</vt:i4>
      </vt:variant>
      <vt:variant>
        <vt:i4>0</vt:i4>
      </vt:variant>
      <vt:variant>
        <vt:i4>5</vt:i4>
      </vt:variant>
      <vt:variant>
        <vt:lpwstr>http://eur-lex.europa.eu/LexUriServ/LexUriServ.do?uri=OJ:L:2007:171:0001:0016:EN:PDF</vt:lpwstr>
      </vt:variant>
      <vt:variant>
        <vt:lpwstr/>
      </vt:variant>
      <vt:variant>
        <vt:i4>2883621</vt:i4>
      </vt:variant>
      <vt:variant>
        <vt:i4>579</vt:i4>
      </vt:variant>
      <vt:variant>
        <vt:i4>0</vt:i4>
      </vt:variant>
      <vt:variant>
        <vt:i4>5</vt:i4>
      </vt:variant>
      <vt:variant>
        <vt:lpwstr>https://publications.europa.eu/en/publication-detail/-/publication/6368e34a-5eaa-480c-bd0c-f523cd4516a1/langua</vt:lpwstr>
      </vt:variant>
      <vt:variant>
        <vt:lpwstr/>
      </vt:variant>
      <vt:variant>
        <vt:i4>7143507</vt:i4>
      </vt:variant>
      <vt:variant>
        <vt:i4>573</vt:i4>
      </vt:variant>
      <vt:variant>
        <vt:i4>0</vt:i4>
      </vt:variant>
      <vt:variant>
        <vt:i4>5</vt:i4>
      </vt:variant>
      <vt:variant>
        <vt:lpwstr>https://www.eea.europa.eu/publications/air-quality-in-europe-2017/at_download/file</vt:lpwstr>
      </vt:variant>
      <vt:variant>
        <vt:lpwstr/>
      </vt:variant>
      <vt:variant>
        <vt:i4>5439492</vt:i4>
      </vt:variant>
      <vt:variant>
        <vt:i4>567</vt:i4>
      </vt:variant>
      <vt:variant>
        <vt:i4>0</vt:i4>
      </vt:variant>
      <vt:variant>
        <vt:i4>5</vt:i4>
      </vt:variant>
      <vt:variant>
        <vt:lpwstr>https://www.eea.europa.eu/publications/term-report-2015/download</vt:lpwstr>
      </vt:variant>
      <vt:variant>
        <vt:lpwstr/>
      </vt:variant>
      <vt:variant>
        <vt:i4>8257578</vt:i4>
      </vt:variant>
      <vt:variant>
        <vt:i4>561</vt:i4>
      </vt:variant>
      <vt:variant>
        <vt:i4>0</vt:i4>
      </vt:variant>
      <vt:variant>
        <vt:i4>5</vt:i4>
      </vt:variant>
      <vt:variant>
        <vt:lpwstr>https://publications.europa.eu/en/publication-detail/-/publication/1a3f0657-9a83-11e6-9bca-01aa75ed71a1/langua</vt:lpwstr>
      </vt:variant>
      <vt:variant>
        <vt:lpwstr/>
      </vt:variant>
      <vt:variant>
        <vt:i4>4980831</vt:i4>
      </vt:variant>
      <vt:variant>
        <vt:i4>555</vt:i4>
      </vt:variant>
      <vt:variant>
        <vt:i4>0</vt:i4>
      </vt:variant>
      <vt:variant>
        <vt:i4>5</vt:i4>
      </vt:variant>
      <vt:variant>
        <vt:lpwstr>https://www.jstor.org/stable/2672225?item_view=download_purchase&amp;refreqid=excelsior%3A5e352ee7cecaaeaa58c49c83d9f2e15</vt:lpwstr>
      </vt:variant>
      <vt:variant>
        <vt:lpwstr/>
      </vt:variant>
      <vt:variant>
        <vt:i4>4980820</vt:i4>
      </vt:variant>
      <vt:variant>
        <vt:i4>549</vt:i4>
      </vt:variant>
      <vt:variant>
        <vt:i4>0</vt:i4>
      </vt:variant>
      <vt:variant>
        <vt:i4>5</vt:i4>
      </vt:variant>
      <vt:variant>
        <vt:lpwstr>http://citeseerx.ist.psu.edu/viewdoc/download?doi=10.1.1.732.32&amp;rep=rep1&amp;type=pdf</vt:lpwstr>
      </vt:variant>
      <vt:variant>
        <vt:lpwstr/>
      </vt:variant>
      <vt:variant>
        <vt:i4>2752558</vt:i4>
      </vt:variant>
      <vt:variant>
        <vt:i4>543</vt:i4>
      </vt:variant>
      <vt:variant>
        <vt:i4>0</vt:i4>
      </vt:variant>
      <vt:variant>
        <vt:i4>5</vt:i4>
      </vt:variant>
      <vt:variant>
        <vt:lpwstr>https://www.thelancet.com/journals/lanpub/article/PIIS2468-2667(16)30021-4/fulltext</vt:lpwstr>
      </vt:variant>
      <vt:variant>
        <vt:lpwstr/>
      </vt:variant>
      <vt:variant>
        <vt:i4>7798911</vt:i4>
      </vt:variant>
      <vt:variant>
        <vt:i4>537</vt:i4>
      </vt:variant>
      <vt:variant>
        <vt:i4>0</vt:i4>
      </vt:variant>
      <vt:variant>
        <vt:i4>5</vt:i4>
      </vt:variant>
      <vt:variant>
        <vt:lpwstr>https://agupubs.onlinelibrary.wiley.com/doi/epdf/10.1002/jgrd.50171</vt:lpwstr>
      </vt:variant>
      <vt:variant>
        <vt:lpwstr/>
      </vt:variant>
      <vt:variant>
        <vt:i4>6946874</vt:i4>
      </vt:variant>
      <vt:variant>
        <vt:i4>534</vt:i4>
      </vt:variant>
      <vt:variant>
        <vt:i4>0</vt:i4>
      </vt:variant>
      <vt:variant>
        <vt:i4>5</vt:i4>
      </vt:variant>
      <vt:variant>
        <vt:lpwstr>https://www.wri.org/sites/default/files/pdf/trialbyfire.pdf</vt:lpwstr>
      </vt:variant>
      <vt:variant>
        <vt:lpwstr/>
      </vt:variant>
      <vt:variant>
        <vt:i4>1310728</vt:i4>
      </vt:variant>
      <vt:variant>
        <vt:i4>528</vt:i4>
      </vt:variant>
      <vt:variant>
        <vt:i4>0</vt:i4>
      </vt:variant>
      <vt:variant>
        <vt:i4>5</vt:i4>
      </vt:variant>
      <vt:variant>
        <vt:lpwstr>http://environment.asean.org/wp-content/uploads/2015/06/ASEAN-Peatland-Management-Strategy-2006-20201.pdf</vt:lpwstr>
      </vt:variant>
      <vt:variant>
        <vt:lpwstr/>
      </vt:variant>
      <vt:variant>
        <vt:i4>8126586</vt:i4>
      </vt:variant>
      <vt:variant>
        <vt:i4>525</vt:i4>
      </vt:variant>
      <vt:variant>
        <vt:i4>0</vt:i4>
      </vt:variant>
      <vt:variant>
        <vt:i4>5</vt:i4>
      </vt:variant>
      <vt:variant>
        <vt:lpwstr>http://haze.asean.org/asean-agreement-on-transboundary-haze-pollution/</vt:lpwstr>
      </vt:variant>
      <vt:variant>
        <vt:lpwstr/>
      </vt:variant>
      <vt:variant>
        <vt:i4>3801186</vt:i4>
      </vt:variant>
      <vt:variant>
        <vt:i4>519</vt:i4>
      </vt:variant>
      <vt:variant>
        <vt:i4>0</vt:i4>
      </vt:variant>
      <vt:variant>
        <vt:i4>5</vt:i4>
      </vt:variant>
      <vt:variant>
        <vt:lpwstr>http://staging.unep.org/documents/APCAP Brochure 8 October 2015.pdf</vt:lpwstr>
      </vt:variant>
      <vt:variant>
        <vt:lpwstr/>
      </vt:variant>
      <vt:variant>
        <vt:i4>131167</vt:i4>
      </vt:variant>
      <vt:variant>
        <vt:i4>513</vt:i4>
      </vt:variant>
      <vt:variant>
        <vt:i4>0</vt:i4>
      </vt:variant>
      <vt:variant>
        <vt:i4>5</vt:i4>
      </vt:variant>
      <vt:variant>
        <vt:lpwstr>https://www.ncbi.nlm.nih.gov/pubmed/26077815</vt:lpwstr>
      </vt:variant>
      <vt:variant>
        <vt:lpwstr/>
      </vt:variant>
      <vt:variant>
        <vt:i4>6881285</vt:i4>
      </vt:variant>
      <vt:variant>
        <vt:i4>507</vt:i4>
      </vt:variant>
      <vt:variant>
        <vt:i4>0</vt:i4>
      </vt:variant>
      <vt:variant>
        <vt:i4>5</vt:i4>
      </vt:variant>
      <vt:variant>
        <vt:lpwstr>http://www.aprilasia.com/images/pdf_files/april-sfmp2-3-june-2015.pdf</vt:lpwstr>
      </vt:variant>
      <vt:variant>
        <vt:lpwstr/>
      </vt:variant>
      <vt:variant>
        <vt:i4>2097185</vt:i4>
      </vt:variant>
      <vt:variant>
        <vt:i4>501</vt:i4>
      </vt:variant>
      <vt:variant>
        <vt:i4>0</vt:i4>
      </vt:variant>
      <vt:variant>
        <vt:i4>5</vt:i4>
      </vt:variant>
      <vt:variant>
        <vt:lpwstr>https://www.sciencedirect.com/science/article/pii/S0973082610000347/pdfft?md5=a934c8eb4a9bad18238bb71650f415a&amp;pid=1-s2.0-S0973082610000347-main.pdf</vt:lpwstr>
      </vt:variant>
      <vt:variant>
        <vt:lpwstr/>
      </vt:variant>
      <vt:variant>
        <vt:i4>6684692</vt:i4>
      </vt:variant>
      <vt:variant>
        <vt:i4>498</vt:i4>
      </vt:variant>
      <vt:variant>
        <vt:i4>0</vt:i4>
      </vt:variant>
      <vt:variant>
        <vt:i4>5</vt:i4>
      </vt:variant>
      <vt:variant>
        <vt:lpwstr>http://unfccc.int/ghg_data/new_reporting_requirements/items/9560.php</vt:lpwstr>
      </vt:variant>
      <vt:variant>
        <vt:lpwstr/>
      </vt:variant>
      <vt:variant>
        <vt:i4>2031686</vt:i4>
      </vt:variant>
      <vt:variant>
        <vt:i4>480</vt:i4>
      </vt:variant>
      <vt:variant>
        <vt:i4>0</vt:i4>
      </vt:variant>
      <vt:variant>
        <vt:i4>5</vt:i4>
      </vt:variant>
      <vt:variant>
        <vt:lpwstr>https://uk-air.defra.gov.uk/forecasting/</vt:lpwstr>
      </vt:variant>
      <vt:variant>
        <vt:lpwstr/>
      </vt:variant>
      <vt:variant>
        <vt:i4>2031686</vt:i4>
      </vt:variant>
      <vt:variant>
        <vt:i4>477</vt:i4>
      </vt:variant>
      <vt:variant>
        <vt:i4>0</vt:i4>
      </vt:variant>
      <vt:variant>
        <vt:i4>5</vt:i4>
      </vt:variant>
      <vt:variant>
        <vt:lpwstr>https://uk-air.defra.gov.uk/forecasting/</vt:lpwstr>
      </vt:variant>
      <vt:variant>
        <vt:lpwstr/>
      </vt:variant>
      <vt:variant>
        <vt:i4>3080313</vt:i4>
      </vt:variant>
      <vt:variant>
        <vt:i4>474</vt:i4>
      </vt:variant>
      <vt:variant>
        <vt:i4>0</vt:i4>
      </vt:variant>
      <vt:variant>
        <vt:i4>5</vt:i4>
      </vt:variant>
      <vt:variant>
        <vt:lpwstr>about:blank</vt:lpwstr>
      </vt:variant>
      <vt:variant>
        <vt:lpwstr/>
      </vt:variant>
      <vt:variant>
        <vt:i4>5832798</vt:i4>
      </vt:variant>
      <vt:variant>
        <vt:i4>471</vt:i4>
      </vt:variant>
      <vt:variant>
        <vt:i4>0</vt:i4>
      </vt:variant>
      <vt:variant>
        <vt:i4>5</vt:i4>
      </vt:variant>
      <vt:variant>
        <vt:lpwstr>https://openaq.org)/</vt:lpwstr>
      </vt:variant>
      <vt:variant>
        <vt:lpwstr/>
      </vt:variant>
      <vt:variant>
        <vt:i4>5832798</vt:i4>
      </vt:variant>
      <vt:variant>
        <vt:i4>468</vt:i4>
      </vt:variant>
      <vt:variant>
        <vt:i4>0</vt:i4>
      </vt:variant>
      <vt:variant>
        <vt:i4>5</vt:i4>
      </vt:variant>
      <vt:variant>
        <vt:lpwstr>https://openaq.org)/</vt:lpwstr>
      </vt:variant>
      <vt:variant>
        <vt:lpwstr/>
      </vt:variant>
      <vt:variant>
        <vt:i4>5832798</vt:i4>
      </vt:variant>
      <vt:variant>
        <vt:i4>465</vt:i4>
      </vt:variant>
      <vt:variant>
        <vt:i4>0</vt:i4>
      </vt:variant>
      <vt:variant>
        <vt:i4>5</vt:i4>
      </vt:variant>
      <vt:variant>
        <vt:lpwstr>https://openaq.org)/</vt:lpwstr>
      </vt:variant>
      <vt:variant>
        <vt:lpwstr/>
      </vt:variant>
      <vt:variant>
        <vt:i4>2293798</vt:i4>
      </vt:variant>
      <vt:variant>
        <vt:i4>453</vt:i4>
      </vt:variant>
      <vt:variant>
        <vt:i4>0</vt:i4>
      </vt:variant>
      <vt:variant>
        <vt:i4>5</vt:i4>
      </vt:variant>
      <vt:variant>
        <vt:lpwstr>http://ec.europa.eu/environment/archives/cafe/pdf/cba_methodology_vol1.pdf</vt:lpwstr>
      </vt:variant>
      <vt:variant>
        <vt:lpwstr/>
      </vt:variant>
      <vt:variant>
        <vt:i4>6160392</vt:i4>
      </vt:variant>
      <vt:variant>
        <vt:i4>447</vt:i4>
      </vt:variant>
      <vt:variant>
        <vt:i4>0</vt:i4>
      </vt:variant>
      <vt:variant>
        <vt:i4>5</vt:i4>
      </vt:variant>
      <vt:variant>
        <vt:lpwstr>http://ec.europa.eu/environment/archives/cafe/activities/cba.htm</vt:lpwstr>
      </vt:variant>
      <vt:variant>
        <vt:lpwstr/>
      </vt:variant>
      <vt:variant>
        <vt:i4>196714</vt:i4>
      </vt:variant>
      <vt:variant>
        <vt:i4>441</vt:i4>
      </vt:variant>
      <vt:variant>
        <vt:i4>0</vt:i4>
      </vt:variant>
      <vt:variant>
        <vt:i4>5</vt:i4>
      </vt:variant>
      <vt:variant>
        <vt:lpwstr>http://eur-lex.europa.eu/legal-content/EN/TXT/?uri=uriserv:OJ.L_.2016.082.01.0001.01.ENG&amp;toc=OJ:L:2016:082:TOC</vt:lpwstr>
      </vt:variant>
      <vt:variant>
        <vt:lpwstr/>
      </vt:variant>
      <vt:variant>
        <vt:i4>196714</vt:i4>
      </vt:variant>
      <vt:variant>
        <vt:i4>438</vt:i4>
      </vt:variant>
      <vt:variant>
        <vt:i4>0</vt:i4>
      </vt:variant>
      <vt:variant>
        <vt:i4>5</vt:i4>
      </vt:variant>
      <vt:variant>
        <vt:lpwstr>http://eur-lex.europa.eu/legal-content/EN/TXT/?uri=uriserv:OJ.L_.2016.082.01.0001.01.ENG&amp;toc=OJ:L:2016:082:TOC</vt:lpwstr>
      </vt:variant>
      <vt:variant>
        <vt:lpwstr/>
      </vt:variant>
      <vt:variant>
        <vt:i4>196714</vt:i4>
      </vt:variant>
      <vt:variant>
        <vt:i4>435</vt:i4>
      </vt:variant>
      <vt:variant>
        <vt:i4>0</vt:i4>
      </vt:variant>
      <vt:variant>
        <vt:i4>5</vt:i4>
      </vt:variant>
      <vt:variant>
        <vt:lpwstr>http://eur-lex.europa.eu/legal-content/EN/TXT/?uri=uriserv:OJ.L_.2016.082.01.0001.01.ENG&amp;toc=OJ:L:2016:082:TOC</vt:lpwstr>
      </vt:variant>
      <vt:variant>
        <vt:lpwstr/>
      </vt:variant>
      <vt:variant>
        <vt:i4>5701733</vt:i4>
      </vt:variant>
      <vt:variant>
        <vt:i4>432</vt:i4>
      </vt:variant>
      <vt:variant>
        <vt:i4>0</vt:i4>
      </vt:variant>
      <vt:variant>
        <vt:i4>5</vt:i4>
      </vt:variant>
      <vt:variant>
        <vt:lpwstr>https://eur-lex.europa.eu/legal-content/EN/TXT/?uri=uriserv:OJ.L_.2015.193.01.0001.01.ENG</vt:lpwstr>
      </vt:variant>
      <vt:variant>
        <vt:lpwstr/>
      </vt:variant>
      <vt:variant>
        <vt:i4>5701733</vt:i4>
      </vt:variant>
      <vt:variant>
        <vt:i4>429</vt:i4>
      </vt:variant>
      <vt:variant>
        <vt:i4>0</vt:i4>
      </vt:variant>
      <vt:variant>
        <vt:i4>5</vt:i4>
      </vt:variant>
      <vt:variant>
        <vt:lpwstr>https://eur-lex.europa.eu/legal-content/EN/TXT/?uri=uriserv:OJ.L_.2015.193.01.0001.01.ENG</vt:lpwstr>
      </vt:variant>
      <vt:variant>
        <vt:lpwstr/>
      </vt:variant>
      <vt:variant>
        <vt:i4>6160445</vt:i4>
      </vt:variant>
      <vt:variant>
        <vt:i4>414</vt:i4>
      </vt:variant>
      <vt:variant>
        <vt:i4>0</vt:i4>
      </vt:variant>
      <vt:variant>
        <vt:i4>5</vt:i4>
      </vt:variant>
      <vt:variant>
        <vt:lpwstr>https://en.wikipedia.org/wiki/Carbon_capture_and_storage</vt:lpwstr>
      </vt:variant>
      <vt:variant>
        <vt:lpwstr/>
      </vt:variant>
      <vt:variant>
        <vt:i4>4390950</vt:i4>
      </vt:variant>
      <vt:variant>
        <vt:i4>405</vt:i4>
      </vt:variant>
      <vt:variant>
        <vt:i4>0</vt:i4>
      </vt:variant>
      <vt:variant>
        <vt:i4>5</vt:i4>
      </vt:variant>
      <vt:variant>
        <vt:lpwstr>https://en.wikipedia.org/wiki/Domestic_appliances</vt:lpwstr>
      </vt:variant>
      <vt:variant>
        <vt:lpwstr/>
      </vt:variant>
      <vt:variant>
        <vt:i4>3080262</vt:i4>
      </vt:variant>
      <vt:variant>
        <vt:i4>402</vt:i4>
      </vt:variant>
      <vt:variant>
        <vt:i4>0</vt:i4>
      </vt:variant>
      <vt:variant>
        <vt:i4>5</vt:i4>
      </vt:variant>
      <vt:variant>
        <vt:lpwstr>https://en.wikipedia.org/wiki/Consumer_electronics</vt:lpwstr>
      </vt:variant>
      <vt:variant>
        <vt:lpwstr/>
      </vt:variant>
      <vt:variant>
        <vt:i4>7143435</vt:i4>
      </vt:variant>
      <vt:variant>
        <vt:i4>393</vt:i4>
      </vt:variant>
      <vt:variant>
        <vt:i4>0</vt:i4>
      </vt:variant>
      <vt:variant>
        <vt:i4>5</vt:i4>
      </vt:variant>
      <vt:variant>
        <vt:lpwstr>https://en.wikipedia.org/wiki/Smart_meter</vt:lpwstr>
      </vt:variant>
      <vt:variant>
        <vt:lpwstr/>
      </vt:variant>
      <vt:variant>
        <vt:i4>3407991</vt:i4>
      </vt:variant>
      <vt:variant>
        <vt:i4>387</vt:i4>
      </vt:variant>
      <vt:variant>
        <vt:i4>0</vt:i4>
      </vt:variant>
      <vt:variant>
        <vt:i4>5</vt:i4>
      </vt:variant>
      <vt:variant>
        <vt:lpwstr>https://en.wikipedia.org/wiki/Cap_and_trade</vt:lpwstr>
      </vt:variant>
      <vt:variant>
        <vt:lpwstr/>
      </vt:variant>
      <vt:variant>
        <vt:i4>393281</vt:i4>
      </vt:variant>
      <vt:variant>
        <vt:i4>381</vt:i4>
      </vt:variant>
      <vt:variant>
        <vt:i4>0</vt:i4>
      </vt:variant>
      <vt:variant>
        <vt:i4>5</vt:i4>
      </vt:variant>
      <vt:variant>
        <vt:lpwstr>https://www.eea.europa.eu/themes/air/national-emission-ceilings/national-emission-ceilings-directive</vt:lpwstr>
      </vt:variant>
      <vt:variant>
        <vt:lpwstr/>
      </vt:variant>
      <vt:variant>
        <vt:i4>393281</vt:i4>
      </vt:variant>
      <vt:variant>
        <vt:i4>378</vt:i4>
      </vt:variant>
      <vt:variant>
        <vt:i4>0</vt:i4>
      </vt:variant>
      <vt:variant>
        <vt:i4>5</vt:i4>
      </vt:variant>
      <vt:variant>
        <vt:lpwstr>https://www.eea.europa.eu/themes/air/national-emission-ceilings/national-emission-ceilings-directive</vt:lpwstr>
      </vt:variant>
      <vt:variant>
        <vt:lpwstr/>
      </vt:variant>
      <vt:variant>
        <vt:i4>4784137</vt:i4>
      </vt:variant>
      <vt:variant>
        <vt:i4>375</vt:i4>
      </vt:variant>
      <vt:variant>
        <vt:i4>0</vt:i4>
      </vt:variant>
      <vt:variant>
        <vt:i4>5</vt:i4>
      </vt:variant>
      <vt:variant>
        <vt:lpwstr>https://www.carbonmarketdata.com/en/products/world-ets-database/presentation</vt:lpwstr>
      </vt:variant>
      <vt:variant>
        <vt:lpwstr/>
      </vt:variant>
      <vt:variant>
        <vt:i4>4784137</vt:i4>
      </vt:variant>
      <vt:variant>
        <vt:i4>372</vt:i4>
      </vt:variant>
      <vt:variant>
        <vt:i4>0</vt:i4>
      </vt:variant>
      <vt:variant>
        <vt:i4>5</vt:i4>
      </vt:variant>
      <vt:variant>
        <vt:lpwstr>https://www.carbonmarketdata.com/en/products/world-ets-database/presentation</vt:lpwstr>
      </vt:variant>
      <vt:variant>
        <vt:lpwstr/>
      </vt:variant>
      <vt:variant>
        <vt:i4>5570683</vt:i4>
      </vt:variant>
      <vt:variant>
        <vt:i4>369</vt:i4>
      </vt:variant>
      <vt:variant>
        <vt:i4>0</vt:i4>
      </vt:variant>
      <vt:variant>
        <vt:i4>5</vt:i4>
      </vt:variant>
      <vt:variant>
        <vt:lpwstr>https://ec.europa.eu/clima/policies/ets_en</vt:lpwstr>
      </vt:variant>
      <vt:variant>
        <vt:lpwstr/>
      </vt:variant>
      <vt:variant>
        <vt:i4>5570683</vt:i4>
      </vt:variant>
      <vt:variant>
        <vt:i4>366</vt:i4>
      </vt:variant>
      <vt:variant>
        <vt:i4>0</vt:i4>
      </vt:variant>
      <vt:variant>
        <vt:i4>5</vt:i4>
      </vt:variant>
      <vt:variant>
        <vt:lpwstr>https://ec.europa.eu/clima/policies/ets_en</vt:lpwstr>
      </vt:variant>
      <vt:variant>
        <vt:lpwstr/>
      </vt:variant>
      <vt:variant>
        <vt:i4>3342394</vt:i4>
      </vt:variant>
      <vt:variant>
        <vt:i4>363</vt:i4>
      </vt:variant>
      <vt:variant>
        <vt:i4>0</vt:i4>
      </vt:variant>
      <vt:variant>
        <vt:i4>5</vt:i4>
      </vt:variant>
      <vt:variant>
        <vt:lpwstr>https://www.epa.gov/criteria-air-pollutants/naaqs-table</vt:lpwstr>
      </vt:variant>
      <vt:variant>
        <vt:lpwstr/>
      </vt:variant>
      <vt:variant>
        <vt:i4>3342394</vt:i4>
      </vt:variant>
      <vt:variant>
        <vt:i4>360</vt:i4>
      </vt:variant>
      <vt:variant>
        <vt:i4>0</vt:i4>
      </vt:variant>
      <vt:variant>
        <vt:i4>5</vt:i4>
      </vt:variant>
      <vt:variant>
        <vt:lpwstr>https://www.epa.gov/criteria-air-pollutants/naaqs-table</vt:lpwstr>
      </vt:variant>
      <vt:variant>
        <vt:lpwstr/>
      </vt:variant>
      <vt:variant>
        <vt:i4>3604520</vt:i4>
      </vt:variant>
      <vt:variant>
        <vt:i4>342</vt:i4>
      </vt:variant>
      <vt:variant>
        <vt:i4>0</vt:i4>
      </vt:variant>
      <vt:variant>
        <vt:i4>5</vt:i4>
      </vt:variant>
      <vt:variant>
        <vt:lpwstr>https://pub.iges.or.jp/pub/by/publisher/institute-global-environmental</vt:lpwstr>
      </vt:variant>
      <vt:variant>
        <vt:lpwstr/>
      </vt:variant>
      <vt:variant>
        <vt:i4>3604520</vt:i4>
      </vt:variant>
      <vt:variant>
        <vt:i4>339</vt:i4>
      </vt:variant>
      <vt:variant>
        <vt:i4>0</vt:i4>
      </vt:variant>
      <vt:variant>
        <vt:i4>5</vt:i4>
      </vt:variant>
      <vt:variant>
        <vt:lpwstr>https://pub.iges.or.jp/pub/by/publisher/institute-global-environmental</vt:lpwstr>
      </vt:variant>
      <vt:variant>
        <vt:lpwstr/>
      </vt:variant>
      <vt:variant>
        <vt:i4>1638451</vt:i4>
      </vt:variant>
      <vt:variant>
        <vt:i4>134</vt:i4>
      </vt:variant>
      <vt:variant>
        <vt:i4>0</vt:i4>
      </vt:variant>
      <vt:variant>
        <vt:i4>5</vt:i4>
      </vt:variant>
      <vt:variant>
        <vt:lpwstr/>
      </vt:variant>
      <vt:variant>
        <vt:lpwstr>_Toc511748306</vt:lpwstr>
      </vt:variant>
      <vt:variant>
        <vt:i4>1638451</vt:i4>
      </vt:variant>
      <vt:variant>
        <vt:i4>128</vt:i4>
      </vt:variant>
      <vt:variant>
        <vt:i4>0</vt:i4>
      </vt:variant>
      <vt:variant>
        <vt:i4>5</vt:i4>
      </vt:variant>
      <vt:variant>
        <vt:lpwstr/>
      </vt:variant>
      <vt:variant>
        <vt:lpwstr>_Toc511748305</vt:lpwstr>
      </vt:variant>
      <vt:variant>
        <vt:i4>1638451</vt:i4>
      </vt:variant>
      <vt:variant>
        <vt:i4>122</vt:i4>
      </vt:variant>
      <vt:variant>
        <vt:i4>0</vt:i4>
      </vt:variant>
      <vt:variant>
        <vt:i4>5</vt:i4>
      </vt:variant>
      <vt:variant>
        <vt:lpwstr/>
      </vt:variant>
      <vt:variant>
        <vt:lpwstr>_Toc511748304</vt:lpwstr>
      </vt:variant>
      <vt:variant>
        <vt:i4>1638451</vt:i4>
      </vt:variant>
      <vt:variant>
        <vt:i4>116</vt:i4>
      </vt:variant>
      <vt:variant>
        <vt:i4>0</vt:i4>
      </vt:variant>
      <vt:variant>
        <vt:i4>5</vt:i4>
      </vt:variant>
      <vt:variant>
        <vt:lpwstr/>
      </vt:variant>
      <vt:variant>
        <vt:lpwstr>_Toc511748303</vt:lpwstr>
      </vt:variant>
      <vt:variant>
        <vt:i4>1638451</vt:i4>
      </vt:variant>
      <vt:variant>
        <vt:i4>110</vt:i4>
      </vt:variant>
      <vt:variant>
        <vt:i4>0</vt:i4>
      </vt:variant>
      <vt:variant>
        <vt:i4>5</vt:i4>
      </vt:variant>
      <vt:variant>
        <vt:lpwstr/>
      </vt:variant>
      <vt:variant>
        <vt:lpwstr>_Toc511748302</vt:lpwstr>
      </vt:variant>
      <vt:variant>
        <vt:i4>1638451</vt:i4>
      </vt:variant>
      <vt:variant>
        <vt:i4>104</vt:i4>
      </vt:variant>
      <vt:variant>
        <vt:i4>0</vt:i4>
      </vt:variant>
      <vt:variant>
        <vt:i4>5</vt:i4>
      </vt:variant>
      <vt:variant>
        <vt:lpwstr/>
      </vt:variant>
      <vt:variant>
        <vt:lpwstr>_Toc511748301</vt:lpwstr>
      </vt:variant>
      <vt:variant>
        <vt:i4>1638451</vt:i4>
      </vt:variant>
      <vt:variant>
        <vt:i4>98</vt:i4>
      </vt:variant>
      <vt:variant>
        <vt:i4>0</vt:i4>
      </vt:variant>
      <vt:variant>
        <vt:i4>5</vt:i4>
      </vt:variant>
      <vt:variant>
        <vt:lpwstr/>
      </vt:variant>
      <vt:variant>
        <vt:lpwstr>_Toc511748300</vt:lpwstr>
      </vt:variant>
      <vt:variant>
        <vt:i4>1048626</vt:i4>
      </vt:variant>
      <vt:variant>
        <vt:i4>92</vt:i4>
      </vt:variant>
      <vt:variant>
        <vt:i4>0</vt:i4>
      </vt:variant>
      <vt:variant>
        <vt:i4>5</vt:i4>
      </vt:variant>
      <vt:variant>
        <vt:lpwstr/>
      </vt:variant>
      <vt:variant>
        <vt:lpwstr>_Toc511748299</vt:lpwstr>
      </vt:variant>
      <vt:variant>
        <vt:i4>1048626</vt:i4>
      </vt:variant>
      <vt:variant>
        <vt:i4>86</vt:i4>
      </vt:variant>
      <vt:variant>
        <vt:i4>0</vt:i4>
      </vt:variant>
      <vt:variant>
        <vt:i4>5</vt:i4>
      </vt:variant>
      <vt:variant>
        <vt:lpwstr/>
      </vt:variant>
      <vt:variant>
        <vt:lpwstr>_Toc511748298</vt:lpwstr>
      </vt:variant>
      <vt:variant>
        <vt:i4>1048626</vt:i4>
      </vt:variant>
      <vt:variant>
        <vt:i4>80</vt:i4>
      </vt:variant>
      <vt:variant>
        <vt:i4>0</vt:i4>
      </vt:variant>
      <vt:variant>
        <vt:i4>5</vt:i4>
      </vt:variant>
      <vt:variant>
        <vt:lpwstr/>
      </vt:variant>
      <vt:variant>
        <vt:lpwstr>_Toc511748297</vt:lpwstr>
      </vt:variant>
      <vt:variant>
        <vt:i4>1048626</vt:i4>
      </vt:variant>
      <vt:variant>
        <vt:i4>74</vt:i4>
      </vt:variant>
      <vt:variant>
        <vt:i4>0</vt:i4>
      </vt:variant>
      <vt:variant>
        <vt:i4>5</vt:i4>
      </vt:variant>
      <vt:variant>
        <vt:lpwstr/>
      </vt:variant>
      <vt:variant>
        <vt:lpwstr>_Toc511748296</vt:lpwstr>
      </vt:variant>
      <vt:variant>
        <vt:i4>1048626</vt:i4>
      </vt:variant>
      <vt:variant>
        <vt:i4>68</vt:i4>
      </vt:variant>
      <vt:variant>
        <vt:i4>0</vt:i4>
      </vt:variant>
      <vt:variant>
        <vt:i4>5</vt:i4>
      </vt:variant>
      <vt:variant>
        <vt:lpwstr/>
      </vt:variant>
      <vt:variant>
        <vt:lpwstr>_Toc511748295</vt:lpwstr>
      </vt:variant>
      <vt:variant>
        <vt:i4>1048626</vt:i4>
      </vt:variant>
      <vt:variant>
        <vt:i4>62</vt:i4>
      </vt:variant>
      <vt:variant>
        <vt:i4>0</vt:i4>
      </vt:variant>
      <vt:variant>
        <vt:i4>5</vt:i4>
      </vt:variant>
      <vt:variant>
        <vt:lpwstr/>
      </vt:variant>
      <vt:variant>
        <vt:lpwstr>_Toc511748294</vt:lpwstr>
      </vt:variant>
      <vt:variant>
        <vt:i4>1048626</vt:i4>
      </vt:variant>
      <vt:variant>
        <vt:i4>56</vt:i4>
      </vt:variant>
      <vt:variant>
        <vt:i4>0</vt:i4>
      </vt:variant>
      <vt:variant>
        <vt:i4>5</vt:i4>
      </vt:variant>
      <vt:variant>
        <vt:lpwstr/>
      </vt:variant>
      <vt:variant>
        <vt:lpwstr>_Toc511748293</vt:lpwstr>
      </vt:variant>
      <vt:variant>
        <vt:i4>1048626</vt:i4>
      </vt:variant>
      <vt:variant>
        <vt:i4>50</vt:i4>
      </vt:variant>
      <vt:variant>
        <vt:i4>0</vt:i4>
      </vt:variant>
      <vt:variant>
        <vt:i4>5</vt:i4>
      </vt:variant>
      <vt:variant>
        <vt:lpwstr/>
      </vt:variant>
      <vt:variant>
        <vt:lpwstr>_Toc511748292</vt:lpwstr>
      </vt:variant>
      <vt:variant>
        <vt:i4>1048626</vt:i4>
      </vt:variant>
      <vt:variant>
        <vt:i4>44</vt:i4>
      </vt:variant>
      <vt:variant>
        <vt:i4>0</vt:i4>
      </vt:variant>
      <vt:variant>
        <vt:i4>5</vt:i4>
      </vt:variant>
      <vt:variant>
        <vt:lpwstr/>
      </vt:variant>
      <vt:variant>
        <vt:lpwstr>_Toc511748291</vt:lpwstr>
      </vt:variant>
      <vt:variant>
        <vt:i4>1048626</vt:i4>
      </vt:variant>
      <vt:variant>
        <vt:i4>38</vt:i4>
      </vt:variant>
      <vt:variant>
        <vt:i4>0</vt:i4>
      </vt:variant>
      <vt:variant>
        <vt:i4>5</vt:i4>
      </vt:variant>
      <vt:variant>
        <vt:lpwstr/>
      </vt:variant>
      <vt:variant>
        <vt:lpwstr>_Toc511748290</vt:lpwstr>
      </vt:variant>
      <vt:variant>
        <vt:i4>1114162</vt:i4>
      </vt:variant>
      <vt:variant>
        <vt:i4>32</vt:i4>
      </vt:variant>
      <vt:variant>
        <vt:i4>0</vt:i4>
      </vt:variant>
      <vt:variant>
        <vt:i4>5</vt:i4>
      </vt:variant>
      <vt:variant>
        <vt:lpwstr/>
      </vt:variant>
      <vt:variant>
        <vt:lpwstr>_Toc511748289</vt:lpwstr>
      </vt:variant>
      <vt:variant>
        <vt:i4>1114162</vt:i4>
      </vt:variant>
      <vt:variant>
        <vt:i4>26</vt:i4>
      </vt:variant>
      <vt:variant>
        <vt:i4>0</vt:i4>
      </vt:variant>
      <vt:variant>
        <vt:i4>5</vt:i4>
      </vt:variant>
      <vt:variant>
        <vt:lpwstr/>
      </vt:variant>
      <vt:variant>
        <vt:lpwstr>_Toc511748288</vt:lpwstr>
      </vt:variant>
      <vt:variant>
        <vt:i4>1114162</vt:i4>
      </vt:variant>
      <vt:variant>
        <vt:i4>20</vt:i4>
      </vt:variant>
      <vt:variant>
        <vt:i4>0</vt:i4>
      </vt:variant>
      <vt:variant>
        <vt:i4>5</vt:i4>
      </vt:variant>
      <vt:variant>
        <vt:lpwstr/>
      </vt:variant>
      <vt:variant>
        <vt:lpwstr>_Toc511748287</vt:lpwstr>
      </vt:variant>
      <vt:variant>
        <vt:i4>1114162</vt:i4>
      </vt:variant>
      <vt:variant>
        <vt:i4>14</vt:i4>
      </vt:variant>
      <vt:variant>
        <vt:i4>0</vt:i4>
      </vt:variant>
      <vt:variant>
        <vt:i4>5</vt:i4>
      </vt:variant>
      <vt:variant>
        <vt:lpwstr/>
      </vt:variant>
      <vt:variant>
        <vt:lpwstr>_Toc511748286</vt:lpwstr>
      </vt:variant>
      <vt:variant>
        <vt:i4>1114162</vt:i4>
      </vt:variant>
      <vt:variant>
        <vt:i4>8</vt:i4>
      </vt:variant>
      <vt:variant>
        <vt:i4>0</vt:i4>
      </vt:variant>
      <vt:variant>
        <vt:i4>5</vt:i4>
      </vt:variant>
      <vt:variant>
        <vt:lpwstr/>
      </vt:variant>
      <vt:variant>
        <vt:lpwstr>_Toc511748285</vt:lpwstr>
      </vt:variant>
      <vt:variant>
        <vt:i4>1114162</vt:i4>
      </vt:variant>
      <vt:variant>
        <vt:i4>2</vt:i4>
      </vt:variant>
      <vt:variant>
        <vt:i4>0</vt:i4>
      </vt:variant>
      <vt:variant>
        <vt:i4>5</vt:i4>
      </vt:variant>
      <vt:variant>
        <vt:lpwstr/>
      </vt:variant>
      <vt:variant>
        <vt:lpwstr>_Toc511748284</vt:lpwstr>
      </vt:variant>
      <vt:variant>
        <vt:i4>720986</vt:i4>
      </vt:variant>
      <vt:variant>
        <vt:i4>24</vt:i4>
      </vt:variant>
      <vt:variant>
        <vt:i4>0</vt:i4>
      </vt:variant>
      <vt:variant>
        <vt:i4>5</vt:i4>
      </vt:variant>
      <vt:variant>
        <vt:lpwstr>https://www.eea.europa.eu/publications/air-quality-in-europe-2017</vt:lpwstr>
      </vt:variant>
      <vt:variant>
        <vt:lpwstr/>
      </vt:variant>
      <vt:variant>
        <vt:i4>6160392</vt:i4>
      </vt:variant>
      <vt:variant>
        <vt:i4>18</vt:i4>
      </vt:variant>
      <vt:variant>
        <vt:i4>0</vt:i4>
      </vt:variant>
      <vt:variant>
        <vt:i4>5</vt:i4>
      </vt:variant>
      <vt:variant>
        <vt:lpwstr>http://ec.europa.eu/environment/archives/cafe/activities/cba.htm</vt:lpwstr>
      </vt:variant>
      <vt:variant>
        <vt:lpwstr/>
      </vt:variant>
      <vt:variant>
        <vt:i4>5046279</vt:i4>
      </vt:variant>
      <vt:variant>
        <vt:i4>12</vt:i4>
      </vt:variant>
      <vt:variant>
        <vt:i4>0</vt:i4>
      </vt:variant>
      <vt:variant>
        <vt:i4>5</vt:i4>
      </vt:variant>
      <vt:variant>
        <vt:lpwstr>http://ec.europa.eu/health/ph_risk/committees/04_scher/docs/scher_o_009.pdf</vt:lpwstr>
      </vt:variant>
      <vt:variant>
        <vt:lpwstr/>
      </vt:variant>
      <vt:variant>
        <vt:i4>7405631</vt:i4>
      </vt:variant>
      <vt:variant>
        <vt:i4>6</vt:i4>
      </vt:variant>
      <vt:variant>
        <vt:i4>0</vt:i4>
      </vt:variant>
      <vt:variant>
        <vt:i4>5</vt:i4>
      </vt:variant>
      <vt:variant>
        <vt:lpwstr>http://ec.europa.eu/environment/archives/air/pdf/Impact_assessment_en.pdf</vt:lpwstr>
      </vt:variant>
      <vt:variant>
        <vt:lpwstr/>
      </vt:variant>
      <vt:variant>
        <vt:i4>3276921</vt:i4>
      </vt:variant>
      <vt:variant>
        <vt:i4>3</vt:i4>
      </vt:variant>
      <vt:variant>
        <vt:i4>0</vt:i4>
      </vt:variant>
      <vt:variant>
        <vt:i4>5</vt:i4>
      </vt:variant>
      <vt:variant>
        <vt:lpwstr>http://iopscience.iop.org/article/10.1088/1748-9326/10/7/075004</vt:lpwstr>
      </vt:variant>
      <vt:variant>
        <vt:lpwstr/>
      </vt:variant>
      <vt:variant>
        <vt:i4>6881330</vt:i4>
      </vt:variant>
      <vt:variant>
        <vt:i4>0</vt:i4>
      </vt:variant>
      <vt:variant>
        <vt:i4>0</vt:i4>
      </vt:variant>
      <vt:variant>
        <vt:i4>5</vt:i4>
      </vt:variant>
      <vt:variant>
        <vt:lpwstr>http://ipcc.ch/pdf/assessment-report/ar5/wg1/WG1AR5_Chapter02_FINAL.pdf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Keating, Terry</dc:creator>
  <cp:lastModifiedBy>Yunting Duan</cp:lastModifiedBy>
  <cp:revision>8</cp:revision>
  <cp:lastPrinted>2018-10-11T06:57:00Z</cp:lastPrinted>
  <dcterms:created xsi:type="dcterms:W3CDTF">2018-11-12T06:49:00Z</dcterms:created>
  <dcterms:modified xsi:type="dcterms:W3CDTF">2018-11-12T07:23:00Z</dcterms:modified>
</cp:coreProperties>
</file>