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929C" w14:textId="77777777" w:rsidR="00FA1C78" w:rsidRPr="00B04299" w:rsidRDefault="00104456" w:rsidP="008E6634">
      <w:pPr>
        <w:pStyle w:val="Heading1"/>
      </w:pPr>
      <w:r w:rsidRPr="00B04299">
        <w:t>Policy Theory and Practice</w:t>
      </w:r>
    </w:p>
    <w:p w14:paraId="2B720B5C" w14:textId="504C6359" w:rsidR="00FA1C78" w:rsidRPr="00577C42" w:rsidRDefault="00A15174" w:rsidP="00086545">
      <w:pPr>
        <w:rPr>
          <w:color w:val="auto"/>
        </w:rPr>
      </w:pPr>
      <w:r w:rsidRPr="00577C42">
        <w:rPr>
          <w:b/>
          <w:color w:val="auto"/>
        </w:rPr>
        <w:t>Coordinating Lead Authors:</w:t>
      </w:r>
      <w:r w:rsidRPr="00577C42">
        <w:rPr>
          <w:color w:val="auto"/>
        </w:rPr>
        <w:t xml:space="preserve"> Peter King (Institute for Global Environmental Strategies), Klaus Jacob (</w:t>
      </w:r>
      <w:proofErr w:type="spellStart"/>
      <w:r w:rsidRPr="00577C42">
        <w:rPr>
          <w:color w:val="auto"/>
        </w:rPr>
        <w:t>Freie</w:t>
      </w:r>
      <w:proofErr w:type="spellEnd"/>
      <w:r w:rsidRPr="00577C42">
        <w:rPr>
          <w:color w:val="auto"/>
        </w:rPr>
        <w:t xml:space="preserve"> </w:t>
      </w:r>
      <w:proofErr w:type="spellStart"/>
      <w:r w:rsidRPr="00577C42">
        <w:rPr>
          <w:color w:val="auto"/>
        </w:rPr>
        <w:t>Universitaet</w:t>
      </w:r>
      <w:proofErr w:type="spellEnd"/>
      <w:r w:rsidRPr="00577C42">
        <w:rPr>
          <w:color w:val="auto"/>
        </w:rPr>
        <w:t xml:space="preserve"> Berlin)</w:t>
      </w:r>
    </w:p>
    <w:p w14:paraId="3758E9C4" w14:textId="7E7DC189" w:rsidR="00FA1C78" w:rsidRPr="00577C42" w:rsidRDefault="00A15174" w:rsidP="00086545">
      <w:pPr>
        <w:rPr>
          <w:color w:val="auto"/>
        </w:rPr>
      </w:pPr>
      <w:r w:rsidRPr="00577C42">
        <w:rPr>
          <w:b/>
          <w:color w:val="auto"/>
        </w:rPr>
        <w:t>Lead Authors:</w:t>
      </w:r>
      <w:r w:rsidRPr="00577C42">
        <w:rPr>
          <w:color w:val="auto"/>
        </w:rPr>
        <w:t xml:space="preserve"> Leandra Regina Gonçalves (University of Campinas/</w:t>
      </w:r>
      <w:r w:rsidR="00FA1C78" w:rsidRPr="00C032D3">
        <w:rPr>
          <w:color w:val="auto"/>
        </w:rPr>
        <w:t>Cent</w:t>
      </w:r>
      <w:r w:rsidR="009710BE" w:rsidRPr="00C032D3">
        <w:rPr>
          <w:color w:val="auto"/>
        </w:rPr>
        <w:t>r</w:t>
      </w:r>
      <w:r w:rsidR="00FA1C78" w:rsidRPr="00C032D3">
        <w:rPr>
          <w:color w:val="auto"/>
        </w:rPr>
        <w:t>e</w:t>
      </w:r>
      <w:r w:rsidRPr="00577C42">
        <w:rPr>
          <w:color w:val="auto"/>
        </w:rPr>
        <w:t xml:space="preserve"> for Environmental Studies and Research (NEPAM)), </w:t>
      </w:r>
      <w:r w:rsidR="00FA1C78" w:rsidRPr="00C032D3">
        <w:rPr>
          <w:color w:val="auto"/>
        </w:rPr>
        <w:t>Ped</w:t>
      </w:r>
      <w:r w:rsidR="0090466F" w:rsidRPr="00577C42">
        <w:rPr>
          <w:color w:val="auto"/>
        </w:rPr>
        <w:t xml:space="preserve">ro </w:t>
      </w:r>
      <w:proofErr w:type="spellStart"/>
      <w:r w:rsidR="0090466F" w:rsidRPr="00577C42">
        <w:rPr>
          <w:color w:val="auto"/>
        </w:rPr>
        <w:t>Fidelman</w:t>
      </w:r>
      <w:proofErr w:type="spellEnd"/>
      <w:r w:rsidR="0090466F" w:rsidRPr="00577C42">
        <w:rPr>
          <w:color w:val="auto"/>
        </w:rPr>
        <w:t xml:space="preserve"> (</w:t>
      </w:r>
      <w:r w:rsidR="0089692E" w:rsidRPr="00577C42">
        <w:rPr>
          <w:color w:val="auto"/>
        </w:rPr>
        <w:t xml:space="preserve">Centre for Policy Futures, </w:t>
      </w:r>
      <w:r w:rsidR="0090466F" w:rsidRPr="00577C42">
        <w:rPr>
          <w:color w:val="auto"/>
        </w:rPr>
        <w:t>University o</w:t>
      </w:r>
      <w:r w:rsidR="0089692E" w:rsidRPr="00577C42">
        <w:rPr>
          <w:color w:val="auto"/>
        </w:rPr>
        <w:t>f Queensland</w:t>
      </w:r>
      <w:r w:rsidR="0090466F" w:rsidRPr="00577C42">
        <w:rPr>
          <w:color w:val="auto"/>
        </w:rPr>
        <w:t xml:space="preserve">), </w:t>
      </w:r>
      <w:r w:rsidRPr="00577C42">
        <w:rPr>
          <w:color w:val="auto"/>
        </w:rPr>
        <w:t xml:space="preserve">Sebastian </w:t>
      </w:r>
      <w:proofErr w:type="spellStart"/>
      <w:r w:rsidRPr="00577C42">
        <w:rPr>
          <w:color w:val="auto"/>
        </w:rPr>
        <w:t>Sewerin</w:t>
      </w:r>
      <w:proofErr w:type="spellEnd"/>
      <w:r w:rsidRPr="00577C42">
        <w:rPr>
          <w:color w:val="auto"/>
        </w:rPr>
        <w:t xml:space="preserve"> (Swiss Federal Institute of Technol</w:t>
      </w:r>
      <w:r w:rsidR="00FA1C78" w:rsidRPr="00577C42">
        <w:rPr>
          <w:color w:val="auto"/>
        </w:rPr>
        <w:t>ogy</w:t>
      </w:r>
      <w:r w:rsidRPr="00577C42">
        <w:rPr>
          <w:color w:val="auto"/>
        </w:rPr>
        <w:t xml:space="preserve"> Zurich (ETH Zurich)), James </w:t>
      </w:r>
      <w:proofErr w:type="spellStart"/>
      <w:r w:rsidRPr="00577C42">
        <w:rPr>
          <w:color w:val="auto"/>
        </w:rPr>
        <w:t>Hollway</w:t>
      </w:r>
      <w:proofErr w:type="spellEnd"/>
      <w:r w:rsidRPr="00577C42">
        <w:rPr>
          <w:color w:val="auto"/>
        </w:rPr>
        <w:t xml:space="preserve"> (Graduate Institute of International and Development Studies)</w:t>
      </w:r>
    </w:p>
    <w:p w14:paraId="0B20D321" w14:textId="401DECF2" w:rsidR="00FA1C78" w:rsidRPr="00577C42" w:rsidRDefault="00A15174" w:rsidP="00086545">
      <w:pPr>
        <w:rPr>
          <w:color w:val="auto"/>
        </w:rPr>
      </w:pPr>
      <w:r w:rsidRPr="00577C42">
        <w:rPr>
          <w:b/>
          <w:color w:val="auto"/>
        </w:rPr>
        <w:t>Fellow:</w:t>
      </w:r>
      <w:r w:rsidRPr="00577C42">
        <w:rPr>
          <w:color w:val="auto"/>
        </w:rPr>
        <w:t xml:space="preserve"> H</w:t>
      </w:r>
      <w:r w:rsidR="0089692E" w:rsidRPr="00577C42">
        <w:rPr>
          <w:color w:val="auto"/>
        </w:rPr>
        <w:t>e</w:t>
      </w:r>
      <w:r w:rsidRPr="00577C42">
        <w:rPr>
          <w:color w:val="auto"/>
        </w:rPr>
        <w:t xml:space="preserve"> </w:t>
      </w:r>
      <w:proofErr w:type="spellStart"/>
      <w:r w:rsidRPr="00577C42">
        <w:rPr>
          <w:color w:val="auto"/>
        </w:rPr>
        <w:t>Chenmin</w:t>
      </w:r>
      <w:proofErr w:type="spellEnd"/>
      <w:r w:rsidRPr="00577C42">
        <w:rPr>
          <w:color w:val="auto"/>
        </w:rPr>
        <w:t xml:space="preserve"> (Peking University)</w:t>
      </w:r>
    </w:p>
    <w:p w14:paraId="3A4D9928" w14:textId="0BE9FB90" w:rsidR="00FA1C78" w:rsidRPr="00577C42" w:rsidRDefault="00B80F80" w:rsidP="009D5255">
      <w:pPr>
        <w:pStyle w:val="Heading4"/>
        <w:rPr>
          <w:b/>
          <w:color w:val="auto"/>
          <w:sz w:val="28"/>
          <w:szCs w:val="28"/>
        </w:rPr>
      </w:pPr>
      <w:r w:rsidRPr="00577C42">
        <w:rPr>
          <w:b/>
          <w:color w:val="auto"/>
          <w:sz w:val="28"/>
          <w:szCs w:val="28"/>
        </w:rPr>
        <w:t xml:space="preserve">Executive </w:t>
      </w:r>
      <w:r w:rsidR="009710BE" w:rsidRPr="00577C42">
        <w:rPr>
          <w:b/>
          <w:color w:val="auto"/>
          <w:sz w:val="28"/>
          <w:szCs w:val="28"/>
        </w:rPr>
        <w:t>s</w:t>
      </w:r>
      <w:r w:rsidRPr="00577C42">
        <w:rPr>
          <w:b/>
          <w:color w:val="auto"/>
          <w:sz w:val="28"/>
          <w:szCs w:val="28"/>
        </w:rPr>
        <w:t>ummary</w:t>
      </w:r>
    </w:p>
    <w:p w14:paraId="787EB129" w14:textId="77040916" w:rsidR="00FA1C78" w:rsidRPr="00577C42" w:rsidRDefault="00104456" w:rsidP="00104456">
      <w:pPr>
        <w:rPr>
          <w:color w:val="auto"/>
        </w:rPr>
      </w:pPr>
      <w:bookmarkStart w:id="0" w:name="_1fob9te" w:colFirst="0" w:colLast="0"/>
      <w:bookmarkStart w:id="1" w:name="_Ref517010826"/>
      <w:bookmarkEnd w:id="0"/>
      <w:r w:rsidRPr="00C867E0">
        <w:rPr>
          <w:b/>
          <w:color w:val="auto"/>
        </w:rPr>
        <w:t>Environmental policy struggles with some conceptual and empirical challenges</w:t>
      </w:r>
      <w:r w:rsidRPr="007C367A">
        <w:rPr>
          <w:b/>
          <w:color w:val="auto"/>
        </w:rPr>
        <w:t xml:space="preserve">, so a good starting point for analysis is what constitutes </w:t>
      </w:r>
      <w:r w:rsidR="00FA1C78" w:rsidRPr="007C367A">
        <w:rPr>
          <w:b/>
          <w:color w:val="auto"/>
        </w:rPr>
        <w:t>‘</w:t>
      </w:r>
      <w:r w:rsidRPr="007C367A">
        <w:rPr>
          <w:b/>
          <w:color w:val="auto"/>
        </w:rPr>
        <w:t>good</w:t>
      </w:r>
      <w:r w:rsidR="00FA1C78" w:rsidRPr="007C367A">
        <w:rPr>
          <w:b/>
          <w:color w:val="auto"/>
        </w:rPr>
        <w:t>’</w:t>
      </w:r>
      <w:r w:rsidRPr="007C367A">
        <w:rPr>
          <w:b/>
          <w:color w:val="auto"/>
        </w:rPr>
        <w:t xml:space="preserve"> policy design.</w:t>
      </w:r>
      <w:r w:rsidRPr="00577C42">
        <w:rPr>
          <w:color w:val="auto"/>
        </w:rPr>
        <w:t xml:space="preserve"> </w:t>
      </w:r>
      <w:r w:rsidR="00C867E0">
        <w:rPr>
          <w:color w:val="auto"/>
        </w:rPr>
        <w:t>Within the definition of ‘good’ policy design e</w:t>
      </w:r>
      <w:r w:rsidRPr="00577C42">
        <w:rPr>
          <w:color w:val="auto"/>
        </w:rPr>
        <w:t xml:space="preserve">cosystem properties and problems, </w:t>
      </w:r>
      <w:r w:rsidR="00C867E0">
        <w:rPr>
          <w:color w:val="auto"/>
        </w:rPr>
        <w:t xml:space="preserve">the performance of </w:t>
      </w:r>
      <w:r w:rsidRPr="00577C42">
        <w:rPr>
          <w:color w:val="auto"/>
        </w:rPr>
        <w:t xml:space="preserve">existing policies, </w:t>
      </w:r>
      <w:r w:rsidR="00FA1C78" w:rsidRPr="00C032D3">
        <w:rPr>
          <w:color w:val="auto"/>
        </w:rPr>
        <w:t>practice</w:t>
      </w:r>
      <w:r w:rsidRPr="00577C42">
        <w:rPr>
          <w:color w:val="auto"/>
        </w:rPr>
        <w:t xml:space="preserve">s and actors need to be considered common elements. Analysts and policymakers </w:t>
      </w:r>
      <w:r w:rsidR="00C867E0">
        <w:rPr>
          <w:color w:val="auto"/>
        </w:rPr>
        <w:t xml:space="preserve">should </w:t>
      </w:r>
      <w:r w:rsidRPr="00577C42">
        <w:rPr>
          <w:color w:val="auto"/>
        </w:rPr>
        <w:t>better understand the temporal dynamics of policy change, how and why specific policies work (or not) and how policy choices interact in increasingly complex policy mixes.</w:t>
      </w:r>
      <w:r w:rsidR="00FD0DA3">
        <w:rPr>
          <w:color w:val="auto"/>
        </w:rPr>
        <w:t xml:space="preserve"> </w:t>
      </w:r>
      <w:r w:rsidR="00FE2590">
        <w:rPr>
          <w:color w:val="auto"/>
        </w:rPr>
        <w:t>{</w:t>
      </w:r>
      <w:r w:rsidR="00FD0DA3">
        <w:rPr>
          <w:color w:val="auto"/>
        </w:rPr>
        <w:t>11.2</w:t>
      </w:r>
      <w:r w:rsidR="00FE2590">
        <w:rPr>
          <w:color w:val="auto"/>
        </w:rPr>
        <w:t>}</w:t>
      </w:r>
    </w:p>
    <w:p w14:paraId="46CB4484" w14:textId="3EFF31E2" w:rsidR="00FA1C78" w:rsidRPr="00577C42" w:rsidRDefault="00104456" w:rsidP="00104456">
      <w:pPr>
        <w:rPr>
          <w:color w:val="auto"/>
        </w:rPr>
      </w:pPr>
      <w:r w:rsidRPr="00C867E0">
        <w:rPr>
          <w:b/>
          <w:color w:val="auto"/>
        </w:rPr>
        <w:t xml:space="preserve">In the field of environmental policy research, diffusion across </w:t>
      </w:r>
      <w:r w:rsidR="00FA1C78" w:rsidRPr="00C867E0">
        <w:rPr>
          <w:b/>
          <w:color w:val="auto"/>
        </w:rPr>
        <w:t>border</w:t>
      </w:r>
      <w:r w:rsidRPr="00C867E0">
        <w:rPr>
          <w:b/>
          <w:color w:val="auto"/>
        </w:rPr>
        <w:t>s has featured prominently</w:t>
      </w:r>
      <w:r w:rsidRPr="007C367A">
        <w:rPr>
          <w:b/>
          <w:color w:val="auto"/>
        </w:rPr>
        <w:t xml:space="preserve">, especially in relation to renewable energy policies such as feed-in tariffs, renewable portfolio standards and </w:t>
      </w:r>
      <w:r w:rsidR="00FA1C78" w:rsidRPr="007C367A">
        <w:rPr>
          <w:b/>
          <w:color w:val="auto"/>
        </w:rPr>
        <w:t>emission</w:t>
      </w:r>
      <w:r w:rsidRPr="007C367A">
        <w:rPr>
          <w:b/>
          <w:color w:val="auto"/>
        </w:rPr>
        <w:t>s trading.</w:t>
      </w:r>
      <w:r w:rsidRPr="00577C42">
        <w:rPr>
          <w:color w:val="auto"/>
        </w:rPr>
        <w:t xml:space="preserve"> Among four possible mechanisms of renewable energy policy diffusion (emulation, suasion, learning and competition)</w:t>
      </w:r>
      <w:r w:rsidR="009710BE" w:rsidRPr="00577C42">
        <w:rPr>
          <w:color w:val="auto"/>
        </w:rPr>
        <w:t>,</w:t>
      </w:r>
      <w:r w:rsidRPr="00577C42">
        <w:rPr>
          <w:color w:val="auto"/>
        </w:rPr>
        <w:t xml:space="preserve"> suasion and emulation were found to be more common than learning and competition. There has been little research on post-adoption dynamics of diffused policies, with a risk of undermining other sector policies and policy coherence.</w:t>
      </w:r>
      <w:r w:rsidR="00FD0DA3">
        <w:rPr>
          <w:color w:val="auto"/>
        </w:rPr>
        <w:t xml:space="preserve"> </w:t>
      </w:r>
      <w:r w:rsidR="00FE2590">
        <w:rPr>
          <w:color w:val="auto"/>
        </w:rPr>
        <w:t>{</w:t>
      </w:r>
      <w:r w:rsidR="00FD0DA3">
        <w:rPr>
          <w:color w:val="auto"/>
        </w:rPr>
        <w:t>11.2.1</w:t>
      </w:r>
      <w:r w:rsidR="00FE2590">
        <w:rPr>
          <w:color w:val="auto"/>
        </w:rPr>
        <w:t>}</w:t>
      </w:r>
    </w:p>
    <w:p w14:paraId="56B55087" w14:textId="14678FA1" w:rsidR="00FA1C78" w:rsidRPr="00577C42" w:rsidRDefault="00104456" w:rsidP="00104456">
      <w:pPr>
        <w:rPr>
          <w:color w:val="auto"/>
        </w:rPr>
      </w:pPr>
      <w:r w:rsidRPr="00577C42">
        <w:rPr>
          <w:b/>
          <w:color w:val="auto"/>
        </w:rPr>
        <w:t xml:space="preserve">In relation to how policies </w:t>
      </w:r>
      <w:r w:rsidR="00FA1C78" w:rsidRPr="00C032D3">
        <w:rPr>
          <w:b/>
          <w:color w:val="auto"/>
        </w:rPr>
        <w:t>change over</w:t>
      </w:r>
      <w:r w:rsidRPr="00577C42">
        <w:rPr>
          <w:b/>
          <w:color w:val="auto"/>
        </w:rPr>
        <w:t xml:space="preserve"> time and what factors drive these changes, two approaches are dominant in the literature</w:t>
      </w:r>
      <w:r w:rsidR="009710BE" w:rsidRPr="00577C42">
        <w:rPr>
          <w:b/>
          <w:color w:val="auto"/>
        </w:rPr>
        <w:t>:</w:t>
      </w:r>
      <w:r w:rsidR="00FA1C78" w:rsidRPr="00C032D3">
        <w:rPr>
          <w:color w:val="auto"/>
        </w:rPr>
        <w:t xml:space="preserve"> </w:t>
      </w:r>
      <w:r w:rsidRPr="00577C42">
        <w:rPr>
          <w:color w:val="auto"/>
        </w:rPr>
        <w:t>policy stability</w:t>
      </w:r>
      <w:r w:rsidR="009710BE" w:rsidRPr="00577C42">
        <w:rPr>
          <w:color w:val="auto"/>
        </w:rPr>
        <w:t>—</w:t>
      </w:r>
      <w:r w:rsidRPr="00577C42">
        <w:rPr>
          <w:color w:val="auto"/>
        </w:rPr>
        <w:t>or lock-in</w:t>
      </w:r>
      <w:r w:rsidR="009710BE" w:rsidRPr="00577C42">
        <w:rPr>
          <w:color w:val="auto"/>
        </w:rPr>
        <w:t>—</w:t>
      </w:r>
      <w:r w:rsidR="00E5659F" w:rsidRPr="00577C42">
        <w:rPr>
          <w:color w:val="auto"/>
        </w:rPr>
        <w:t xml:space="preserve">on </w:t>
      </w:r>
      <w:r w:rsidR="009710BE" w:rsidRPr="00577C42">
        <w:rPr>
          <w:color w:val="auto"/>
        </w:rPr>
        <w:t xml:space="preserve">the </w:t>
      </w:r>
      <w:r w:rsidR="00E5659F" w:rsidRPr="00577C42">
        <w:rPr>
          <w:color w:val="auto"/>
        </w:rPr>
        <w:t>one hand</w:t>
      </w:r>
      <w:r w:rsidR="009710BE" w:rsidRPr="00577C42">
        <w:rPr>
          <w:color w:val="auto"/>
        </w:rPr>
        <w:t>,</w:t>
      </w:r>
      <w:r w:rsidR="00E5659F" w:rsidRPr="00577C42">
        <w:rPr>
          <w:color w:val="auto"/>
        </w:rPr>
        <w:t xml:space="preserve"> </w:t>
      </w:r>
      <w:r w:rsidRPr="00577C42">
        <w:rPr>
          <w:color w:val="auto"/>
        </w:rPr>
        <w:t>and punctuated equilibrium</w:t>
      </w:r>
      <w:r w:rsidR="00E5659F" w:rsidRPr="00577C42">
        <w:rPr>
          <w:color w:val="auto"/>
        </w:rPr>
        <w:t xml:space="preserve"> on the other</w:t>
      </w:r>
      <w:r w:rsidRPr="00577C42">
        <w:rPr>
          <w:color w:val="auto"/>
        </w:rPr>
        <w:t xml:space="preserve">. Punctuations may be driven by </w:t>
      </w:r>
      <w:r w:rsidR="00C867E0">
        <w:rPr>
          <w:color w:val="auto"/>
        </w:rPr>
        <w:t>external</w:t>
      </w:r>
      <w:r w:rsidR="00C867E0" w:rsidRPr="00577C42">
        <w:rPr>
          <w:color w:val="auto"/>
        </w:rPr>
        <w:t xml:space="preserve"> </w:t>
      </w:r>
      <w:r w:rsidRPr="00577C42">
        <w:rPr>
          <w:color w:val="auto"/>
        </w:rPr>
        <w:t xml:space="preserve">shocks that rock the otherwise stable policy environment until a new equilibrium is established. Such punctuations may open opportunities for new environmental policies </w:t>
      </w:r>
      <w:r w:rsidR="00FA1C78" w:rsidRPr="00577C42">
        <w:rPr>
          <w:color w:val="auto"/>
        </w:rPr>
        <w:t>(</w:t>
      </w:r>
      <w:r w:rsidR="00FA1C78" w:rsidRPr="00C032D3">
        <w:rPr>
          <w:color w:val="auto"/>
        </w:rPr>
        <w:t>e.g.</w:t>
      </w:r>
      <w:r w:rsidRPr="00577C42">
        <w:rPr>
          <w:color w:val="auto"/>
        </w:rPr>
        <w:t xml:space="preserve"> the impact of Japan</w:t>
      </w:r>
      <w:r w:rsidR="00FA1C78" w:rsidRPr="00577C42">
        <w:rPr>
          <w:color w:val="auto"/>
        </w:rPr>
        <w:t>’</w:t>
      </w:r>
      <w:r w:rsidRPr="00577C42">
        <w:rPr>
          <w:color w:val="auto"/>
        </w:rPr>
        <w:t>s Fukushima nuclear disaster on Germany</w:t>
      </w:r>
      <w:r w:rsidR="00FA1C78" w:rsidRPr="00577C42">
        <w:rPr>
          <w:color w:val="auto"/>
        </w:rPr>
        <w:t>’</w:t>
      </w:r>
      <w:r w:rsidRPr="00577C42">
        <w:rPr>
          <w:color w:val="auto"/>
        </w:rPr>
        <w:t>s policy decision to phase out nuclear power). Often</w:t>
      </w:r>
      <w:r w:rsidR="009710BE" w:rsidRPr="00577C42">
        <w:rPr>
          <w:color w:val="auto"/>
        </w:rPr>
        <w:t>,</w:t>
      </w:r>
      <w:r w:rsidRPr="00577C42">
        <w:rPr>
          <w:color w:val="auto"/>
        </w:rPr>
        <w:t xml:space="preserve"> to avoid risks from taking decisions with unwanted side effects, policymakers tend to delay decisive action </w:t>
      </w:r>
      <w:proofErr w:type="gramStart"/>
      <w:r w:rsidRPr="00577C42">
        <w:rPr>
          <w:color w:val="auto"/>
        </w:rPr>
        <w:t>as long as</w:t>
      </w:r>
      <w:proofErr w:type="gramEnd"/>
      <w:r w:rsidRPr="00577C42">
        <w:rPr>
          <w:color w:val="auto"/>
        </w:rPr>
        <w:t xml:space="preserve"> possible and, confronted with external shocks, choos</w:t>
      </w:r>
      <w:r w:rsidR="009710BE" w:rsidRPr="00577C42">
        <w:rPr>
          <w:color w:val="auto"/>
        </w:rPr>
        <w:t>e</w:t>
      </w:r>
      <w:r w:rsidRPr="00577C42">
        <w:rPr>
          <w:color w:val="auto"/>
        </w:rPr>
        <w:t xml:space="preserve"> symbolic action rather than effective policymaking.</w:t>
      </w:r>
      <w:r w:rsidR="00FD0DA3">
        <w:rPr>
          <w:color w:val="auto"/>
        </w:rPr>
        <w:t xml:space="preserve"> </w:t>
      </w:r>
      <w:r w:rsidR="00FE2590">
        <w:rPr>
          <w:color w:val="auto"/>
        </w:rPr>
        <w:t>{</w:t>
      </w:r>
      <w:r w:rsidR="00FD0DA3">
        <w:rPr>
          <w:color w:val="auto"/>
        </w:rPr>
        <w:t>11.2.2</w:t>
      </w:r>
      <w:r w:rsidR="00FE2590">
        <w:rPr>
          <w:color w:val="auto"/>
        </w:rPr>
        <w:t>}</w:t>
      </w:r>
    </w:p>
    <w:p w14:paraId="3EF36BB9" w14:textId="1CD4A03A" w:rsidR="00FA1C78" w:rsidRPr="00577C42" w:rsidRDefault="00104456" w:rsidP="00104456">
      <w:pPr>
        <w:rPr>
          <w:color w:val="auto"/>
        </w:rPr>
      </w:pPr>
      <w:r w:rsidRPr="00577C42">
        <w:rPr>
          <w:b/>
          <w:color w:val="auto"/>
        </w:rPr>
        <w:t xml:space="preserve">Policy innovation can be regarded as a mix of invention (new or novel approaches), diffusion (transfer and adoption) and </w:t>
      </w:r>
      <w:r w:rsidR="00C867E0">
        <w:rPr>
          <w:b/>
          <w:color w:val="auto"/>
        </w:rPr>
        <w:t xml:space="preserve">monitoring of </w:t>
      </w:r>
      <w:r w:rsidRPr="00577C42">
        <w:rPr>
          <w:b/>
          <w:color w:val="auto"/>
        </w:rPr>
        <w:t>effects (outcomes, impacts and possibly disruption).</w:t>
      </w:r>
      <w:r w:rsidRPr="00577C42">
        <w:rPr>
          <w:color w:val="auto"/>
        </w:rPr>
        <w:t xml:space="preserve"> Good </w:t>
      </w:r>
      <w:r w:rsidR="00FA1C78" w:rsidRPr="00C032D3">
        <w:rPr>
          <w:color w:val="auto"/>
        </w:rPr>
        <w:t>practice</w:t>
      </w:r>
      <w:r w:rsidRPr="00577C42">
        <w:rPr>
          <w:color w:val="auto"/>
        </w:rPr>
        <w:t xml:space="preserve"> suggests that multiple </w:t>
      </w:r>
      <w:r w:rsidRPr="00577C42">
        <w:rPr>
          <w:color w:val="auto"/>
        </w:rPr>
        <w:lastRenderedPageBreak/>
        <w:t xml:space="preserve">innovative policies should be implemented as a form of quasi-experiment, with best </w:t>
      </w:r>
      <w:r w:rsidR="00FA1C78" w:rsidRPr="00C032D3">
        <w:rPr>
          <w:color w:val="auto"/>
        </w:rPr>
        <w:t>practice</w:t>
      </w:r>
      <w:r w:rsidRPr="00577C42">
        <w:rPr>
          <w:color w:val="auto"/>
        </w:rPr>
        <w:t>s emerging from the monitored effects.</w:t>
      </w:r>
      <w:r w:rsidR="00983DCD">
        <w:rPr>
          <w:color w:val="auto"/>
        </w:rPr>
        <w:t xml:space="preserve"> </w:t>
      </w:r>
      <w:r w:rsidR="00FE2590">
        <w:rPr>
          <w:color w:val="auto"/>
        </w:rPr>
        <w:t>{</w:t>
      </w:r>
      <w:r w:rsidR="00983DCD">
        <w:rPr>
          <w:color w:val="auto"/>
        </w:rPr>
        <w:t>11.2.2</w:t>
      </w:r>
      <w:r w:rsidR="00FE2590">
        <w:rPr>
          <w:color w:val="auto"/>
        </w:rPr>
        <w:t>}</w:t>
      </w:r>
    </w:p>
    <w:p w14:paraId="4D503590" w14:textId="203D4D94" w:rsidR="00FA1C78" w:rsidRPr="00577C42" w:rsidRDefault="00104456" w:rsidP="00104456">
      <w:pPr>
        <w:rPr>
          <w:color w:val="auto"/>
        </w:rPr>
      </w:pPr>
      <w:r w:rsidRPr="00577C42">
        <w:rPr>
          <w:b/>
          <w:color w:val="auto"/>
        </w:rPr>
        <w:t xml:space="preserve">Evaluation of policy effectiveness often comes down to expert </w:t>
      </w:r>
      <w:r w:rsidR="00FA1C78" w:rsidRPr="00C032D3">
        <w:rPr>
          <w:b/>
          <w:color w:val="auto"/>
        </w:rPr>
        <w:t>judg</w:t>
      </w:r>
      <w:r w:rsidR="00DD3ADD" w:rsidRPr="00C032D3">
        <w:rPr>
          <w:b/>
          <w:color w:val="auto"/>
        </w:rPr>
        <w:t>e</w:t>
      </w:r>
      <w:r w:rsidR="00FA1C78" w:rsidRPr="00C032D3">
        <w:rPr>
          <w:b/>
          <w:color w:val="auto"/>
        </w:rPr>
        <w:t>ment</w:t>
      </w:r>
      <w:r w:rsidRPr="00577C42">
        <w:rPr>
          <w:b/>
          <w:color w:val="auto"/>
        </w:rPr>
        <w:t>, as there is no commonly agreed approach</w:t>
      </w:r>
      <w:r w:rsidR="00592421">
        <w:rPr>
          <w:b/>
          <w:color w:val="auto"/>
        </w:rPr>
        <w:t xml:space="preserve"> to assessing effectiveness</w:t>
      </w:r>
      <w:r w:rsidRPr="00577C42">
        <w:rPr>
          <w:b/>
          <w:color w:val="auto"/>
        </w:rPr>
        <w:t>.</w:t>
      </w:r>
      <w:r w:rsidRPr="00577C42">
        <w:rPr>
          <w:color w:val="auto"/>
        </w:rPr>
        <w:t xml:space="preserve"> Ideally, a combination of quantitative and qualitative assessments will be most reliable in assessing policy effectiveness. Some policy design tools that can supplement expert </w:t>
      </w:r>
      <w:r w:rsidR="00FA1C78" w:rsidRPr="00C032D3">
        <w:rPr>
          <w:color w:val="auto"/>
        </w:rPr>
        <w:t>judg</w:t>
      </w:r>
      <w:r w:rsidR="00DD3ADD" w:rsidRPr="00C032D3">
        <w:rPr>
          <w:color w:val="auto"/>
        </w:rPr>
        <w:t>e</w:t>
      </w:r>
      <w:r w:rsidR="00FA1C78" w:rsidRPr="00C032D3">
        <w:rPr>
          <w:color w:val="auto"/>
        </w:rPr>
        <w:t>ment</w:t>
      </w:r>
      <w:r w:rsidRPr="00577C42">
        <w:rPr>
          <w:color w:val="auto"/>
        </w:rPr>
        <w:t xml:space="preserve"> are</w:t>
      </w:r>
      <w:r w:rsidR="00DD3ADD" w:rsidRPr="00577C42">
        <w:rPr>
          <w:color w:val="auto"/>
        </w:rPr>
        <w:t>:</w:t>
      </w:r>
      <w:r w:rsidRPr="00577C42">
        <w:rPr>
          <w:color w:val="auto"/>
        </w:rPr>
        <w:t xml:space="preserve"> (</w:t>
      </w:r>
      <w:proofErr w:type="spellStart"/>
      <w:r w:rsidRPr="00577C42">
        <w:rPr>
          <w:color w:val="auto"/>
        </w:rPr>
        <w:t>i</w:t>
      </w:r>
      <w:proofErr w:type="spellEnd"/>
      <w:r w:rsidRPr="00577C42">
        <w:rPr>
          <w:color w:val="auto"/>
        </w:rPr>
        <w:t>) cost</w:t>
      </w:r>
      <w:r w:rsidR="00DD3ADD" w:rsidRPr="00577C42">
        <w:rPr>
          <w:color w:val="auto"/>
        </w:rPr>
        <w:t>–</w:t>
      </w:r>
      <w:r w:rsidRPr="00577C42">
        <w:rPr>
          <w:color w:val="auto"/>
        </w:rPr>
        <w:t xml:space="preserve">benefit analysis and </w:t>
      </w:r>
      <w:r w:rsidR="00FA1C78" w:rsidRPr="00C032D3">
        <w:rPr>
          <w:color w:val="auto"/>
        </w:rPr>
        <w:t>cost-effective</w:t>
      </w:r>
      <w:r w:rsidRPr="00577C42">
        <w:rPr>
          <w:color w:val="auto"/>
        </w:rPr>
        <w:t xml:space="preserve">ness analysis, both of which can be used </w:t>
      </w:r>
      <w:r w:rsidRPr="00577C42">
        <w:rPr>
          <w:i/>
          <w:color w:val="auto"/>
        </w:rPr>
        <w:t>ex ante</w:t>
      </w:r>
      <w:r w:rsidR="00592421">
        <w:rPr>
          <w:i/>
          <w:color w:val="auto"/>
        </w:rPr>
        <w:t xml:space="preserve"> </w:t>
      </w:r>
      <w:r w:rsidR="00592421">
        <w:rPr>
          <w:color w:val="auto"/>
        </w:rPr>
        <w:t>(before implementation)</w:t>
      </w:r>
      <w:r w:rsidRPr="00577C42">
        <w:rPr>
          <w:color w:val="auto"/>
        </w:rPr>
        <w:t xml:space="preserve"> or </w:t>
      </w:r>
      <w:r w:rsidRPr="00577C42">
        <w:rPr>
          <w:i/>
          <w:color w:val="auto"/>
        </w:rPr>
        <w:t>ex post</w:t>
      </w:r>
      <w:r w:rsidR="00592421">
        <w:rPr>
          <w:i/>
          <w:color w:val="auto"/>
        </w:rPr>
        <w:t xml:space="preserve"> </w:t>
      </w:r>
      <w:r w:rsidR="00592421">
        <w:rPr>
          <w:color w:val="auto"/>
        </w:rPr>
        <w:t>(after implementation)</w:t>
      </w:r>
      <w:r w:rsidRPr="00577C42">
        <w:rPr>
          <w:color w:val="auto"/>
        </w:rPr>
        <w:t>; (ii) regulatory impact analysis; (iii) benchmarking or distance to goal or target; and (iv) content analysis or pattern matching.</w:t>
      </w:r>
      <w:r w:rsidR="00983DCD">
        <w:rPr>
          <w:color w:val="auto"/>
        </w:rPr>
        <w:t xml:space="preserve"> </w:t>
      </w:r>
      <w:r w:rsidR="00FE2590">
        <w:rPr>
          <w:color w:val="auto"/>
        </w:rPr>
        <w:t>{</w:t>
      </w:r>
      <w:r w:rsidR="00983DCD">
        <w:rPr>
          <w:color w:val="auto"/>
        </w:rPr>
        <w:t>11.2.3</w:t>
      </w:r>
      <w:r w:rsidR="00FE2590">
        <w:rPr>
          <w:color w:val="auto"/>
        </w:rPr>
        <w:t>}</w:t>
      </w:r>
    </w:p>
    <w:p w14:paraId="706047E0" w14:textId="2955337F" w:rsidR="00FA1C78" w:rsidRPr="00577C42" w:rsidRDefault="00104456" w:rsidP="00104456">
      <w:pPr>
        <w:rPr>
          <w:color w:val="auto"/>
        </w:rPr>
      </w:pPr>
      <w:r w:rsidRPr="00577C42">
        <w:rPr>
          <w:b/>
          <w:color w:val="auto"/>
        </w:rPr>
        <w:t xml:space="preserve">A key lesson learned is to carefully craft a mix of policies that are </w:t>
      </w:r>
      <w:r w:rsidR="00FA1C78" w:rsidRPr="00C032D3">
        <w:rPr>
          <w:b/>
          <w:color w:val="auto"/>
        </w:rPr>
        <w:t>well</w:t>
      </w:r>
      <w:r w:rsidRPr="00577C42">
        <w:rPr>
          <w:b/>
          <w:color w:val="auto"/>
        </w:rPr>
        <w:t xml:space="preserve"> aligned with an overall policy objective</w:t>
      </w:r>
      <w:r w:rsidRPr="00577C42">
        <w:rPr>
          <w:color w:val="auto"/>
        </w:rPr>
        <w:t xml:space="preserve"> </w:t>
      </w:r>
      <w:r w:rsidR="00592421" w:rsidRPr="007C367A">
        <w:rPr>
          <w:b/>
          <w:color w:val="auto"/>
        </w:rPr>
        <w:t xml:space="preserve">followed by monitoring of the </w:t>
      </w:r>
      <w:r w:rsidRPr="007C367A">
        <w:rPr>
          <w:b/>
          <w:color w:val="auto"/>
        </w:rPr>
        <w:t xml:space="preserve">actual effects to determine best </w:t>
      </w:r>
      <w:r w:rsidR="00FA1C78" w:rsidRPr="007C367A">
        <w:rPr>
          <w:b/>
          <w:color w:val="auto"/>
        </w:rPr>
        <w:t>practice</w:t>
      </w:r>
      <w:r w:rsidRPr="007C367A">
        <w:rPr>
          <w:b/>
          <w:color w:val="auto"/>
        </w:rPr>
        <w:t xml:space="preserve"> and likely contributions of different policies.</w:t>
      </w:r>
      <w:r w:rsidRPr="00577C42">
        <w:rPr>
          <w:color w:val="auto"/>
        </w:rPr>
        <w:t xml:space="preserve"> For example, climate change mitigation policy objectives will need a comprehensive mix of carbon pricing, support for energy efficiency and renewable energy, phasing out fossil fuel subsidies, innovation policies, preventing locked-in </w:t>
      </w:r>
      <w:r w:rsidR="00592421">
        <w:rPr>
          <w:color w:val="auto"/>
        </w:rPr>
        <w:t xml:space="preserve">of certain </w:t>
      </w:r>
      <w:r w:rsidRPr="00577C42">
        <w:rPr>
          <w:color w:val="auto"/>
        </w:rPr>
        <w:t>technol</w:t>
      </w:r>
      <w:r w:rsidR="00FA1C78" w:rsidRPr="00577C42">
        <w:rPr>
          <w:color w:val="auto"/>
        </w:rPr>
        <w:t>og</w:t>
      </w:r>
      <w:r w:rsidR="00592421">
        <w:rPr>
          <w:color w:val="auto"/>
        </w:rPr>
        <w:t>ies</w:t>
      </w:r>
      <w:r w:rsidRPr="00577C42">
        <w:rPr>
          <w:color w:val="auto"/>
        </w:rPr>
        <w:t>, and changes in consumer behaviour, among others.</w:t>
      </w:r>
      <w:r w:rsidR="00CE56CC">
        <w:rPr>
          <w:color w:val="auto"/>
        </w:rPr>
        <w:t xml:space="preserve"> </w:t>
      </w:r>
      <w:r w:rsidR="00FE2590">
        <w:rPr>
          <w:color w:val="auto"/>
        </w:rPr>
        <w:t>{</w:t>
      </w:r>
      <w:r w:rsidR="00CE56CC">
        <w:rPr>
          <w:color w:val="auto"/>
        </w:rPr>
        <w:t>11.2.4</w:t>
      </w:r>
      <w:r w:rsidR="00FE2590">
        <w:rPr>
          <w:color w:val="auto"/>
        </w:rPr>
        <w:t>}</w:t>
      </w:r>
    </w:p>
    <w:p w14:paraId="04DBFDAD" w14:textId="478853DD" w:rsidR="00FA1C78" w:rsidRPr="00577C42" w:rsidRDefault="00104456" w:rsidP="00104456">
      <w:pPr>
        <w:rPr>
          <w:color w:val="auto"/>
        </w:rPr>
      </w:pPr>
      <w:r w:rsidRPr="00577C42">
        <w:rPr>
          <w:b/>
          <w:color w:val="auto"/>
        </w:rPr>
        <w:t xml:space="preserve">Environmental objectives cannot be realized by environmental policies </w:t>
      </w:r>
      <w:proofErr w:type="gramStart"/>
      <w:r w:rsidRPr="00577C42">
        <w:rPr>
          <w:b/>
          <w:color w:val="auto"/>
        </w:rPr>
        <w:t>alone</w:t>
      </w:r>
      <w:r w:rsidR="00DD3ADD" w:rsidRPr="00577C42">
        <w:rPr>
          <w:b/>
          <w:color w:val="auto"/>
        </w:rPr>
        <w:t>,</w:t>
      </w:r>
      <w:r w:rsidRPr="00577C42">
        <w:rPr>
          <w:b/>
          <w:color w:val="auto"/>
        </w:rPr>
        <w:t xml:space="preserve"> but</w:t>
      </w:r>
      <w:proofErr w:type="gramEnd"/>
      <w:r w:rsidRPr="00577C42">
        <w:rPr>
          <w:b/>
          <w:color w:val="auto"/>
        </w:rPr>
        <w:t xml:space="preserve"> need to be incorporated in </w:t>
      </w:r>
      <w:r w:rsidR="00FA1C78" w:rsidRPr="00C032D3">
        <w:rPr>
          <w:b/>
          <w:color w:val="auto"/>
        </w:rPr>
        <w:t>non</w:t>
      </w:r>
      <w:r w:rsidR="00FA1C78" w:rsidRPr="00577C42">
        <w:rPr>
          <w:b/>
          <w:color w:val="auto"/>
        </w:rPr>
        <w:t>-</w:t>
      </w:r>
      <w:r w:rsidRPr="00577C42">
        <w:rPr>
          <w:b/>
          <w:color w:val="auto"/>
        </w:rPr>
        <w:t>environmental policy sectors too</w:t>
      </w:r>
      <w:r w:rsidRPr="00577C42">
        <w:rPr>
          <w:color w:val="auto"/>
        </w:rPr>
        <w:t xml:space="preserve">. Environmental ambitions often clash with other sectoral goals, so environmental policy integration </w:t>
      </w:r>
      <w:r w:rsidR="00592421">
        <w:rPr>
          <w:color w:val="auto"/>
        </w:rPr>
        <w:t>should be</w:t>
      </w:r>
      <w:r w:rsidR="00592421" w:rsidRPr="00577C42">
        <w:rPr>
          <w:color w:val="auto"/>
        </w:rPr>
        <w:t xml:space="preserve"> </w:t>
      </w:r>
      <w:r w:rsidRPr="00577C42">
        <w:rPr>
          <w:color w:val="auto"/>
        </w:rPr>
        <w:t>used to address conflicts between environmental and other policy objectives. A corollary to policy integration is policy coherence: the promotion of mutually reinforcing policy actions creating synergies towards achieving objectives in multiple sectors.</w:t>
      </w:r>
      <w:r w:rsidR="00CE56CC">
        <w:rPr>
          <w:color w:val="auto"/>
        </w:rPr>
        <w:t xml:space="preserve"> </w:t>
      </w:r>
      <w:r w:rsidR="00FE2590">
        <w:rPr>
          <w:color w:val="auto"/>
        </w:rPr>
        <w:t>{</w:t>
      </w:r>
      <w:r w:rsidR="00CE56CC">
        <w:rPr>
          <w:color w:val="auto"/>
        </w:rPr>
        <w:t>11.3</w:t>
      </w:r>
      <w:r w:rsidR="00FE2590">
        <w:rPr>
          <w:color w:val="auto"/>
        </w:rPr>
        <w:t>}</w:t>
      </w:r>
    </w:p>
    <w:p w14:paraId="2D5C8A51" w14:textId="41C608FD" w:rsidR="00FA1C78" w:rsidRPr="00577C42" w:rsidRDefault="00104456" w:rsidP="00104456">
      <w:pPr>
        <w:rPr>
          <w:color w:val="auto"/>
        </w:rPr>
      </w:pPr>
      <w:r w:rsidRPr="00577C42">
        <w:rPr>
          <w:b/>
          <w:color w:val="auto"/>
        </w:rPr>
        <w:t>An important argument in favour of environmental policy integration is the economic and social co-benefits that can be expected or demonstrated from implementing environmental policies</w:t>
      </w:r>
      <w:r w:rsidRPr="00C032D3">
        <w:rPr>
          <w:b/>
          <w:color w:val="auto"/>
        </w:rPr>
        <w:t>.</w:t>
      </w:r>
      <w:r w:rsidRPr="00577C42">
        <w:rPr>
          <w:color w:val="auto"/>
        </w:rPr>
        <w:t xml:space="preserve"> These may include additional economic growth from innovation, savings from more efficient use of natural resources, and avoiding the costs of environmental damage.</w:t>
      </w:r>
      <w:r w:rsidR="00CE56CC">
        <w:rPr>
          <w:color w:val="auto"/>
        </w:rPr>
        <w:t xml:space="preserve"> </w:t>
      </w:r>
      <w:r w:rsidR="00FE2590">
        <w:rPr>
          <w:color w:val="auto"/>
        </w:rPr>
        <w:t>{</w:t>
      </w:r>
      <w:r w:rsidR="00CE56CC">
        <w:rPr>
          <w:color w:val="auto"/>
        </w:rPr>
        <w:t>11.3.3</w:t>
      </w:r>
      <w:r w:rsidR="00FE2590">
        <w:rPr>
          <w:color w:val="auto"/>
        </w:rPr>
        <w:t>}</w:t>
      </w:r>
    </w:p>
    <w:p w14:paraId="2583B637" w14:textId="030AB123" w:rsidR="00FA1C78" w:rsidRPr="00577C42" w:rsidRDefault="00592421" w:rsidP="00104456">
      <w:pPr>
        <w:rPr>
          <w:color w:val="auto"/>
        </w:rPr>
      </w:pPr>
      <w:r>
        <w:rPr>
          <w:b/>
          <w:color w:val="auto"/>
        </w:rPr>
        <w:t>Involving a</w:t>
      </w:r>
      <w:r w:rsidR="00104456" w:rsidRPr="00577C42">
        <w:rPr>
          <w:b/>
          <w:color w:val="auto"/>
        </w:rPr>
        <w:t>lliances</w:t>
      </w:r>
      <w:r w:rsidR="00D61BE0" w:rsidRPr="00577C42">
        <w:rPr>
          <w:b/>
          <w:color w:val="auto"/>
        </w:rPr>
        <w:t xml:space="preserve">, </w:t>
      </w:r>
      <w:r w:rsidR="00104456" w:rsidRPr="00577C42">
        <w:rPr>
          <w:b/>
          <w:color w:val="auto"/>
        </w:rPr>
        <w:t xml:space="preserve">clubs </w:t>
      </w:r>
      <w:r w:rsidR="00D61BE0" w:rsidRPr="00577C42">
        <w:rPr>
          <w:b/>
          <w:color w:val="auto"/>
        </w:rPr>
        <w:t xml:space="preserve">and </w:t>
      </w:r>
      <w:r w:rsidR="00FA1C78" w:rsidRPr="00C032D3">
        <w:rPr>
          <w:b/>
          <w:color w:val="auto"/>
        </w:rPr>
        <w:t>non</w:t>
      </w:r>
      <w:r w:rsidR="00FA1C78" w:rsidRPr="00577C42">
        <w:rPr>
          <w:b/>
          <w:color w:val="auto"/>
        </w:rPr>
        <w:t>-</w:t>
      </w:r>
      <w:r w:rsidR="00D61BE0" w:rsidRPr="00577C42">
        <w:rPr>
          <w:b/>
          <w:color w:val="auto"/>
        </w:rPr>
        <w:t>State actors</w:t>
      </w:r>
      <w:r>
        <w:rPr>
          <w:b/>
          <w:color w:val="auto"/>
        </w:rPr>
        <w:t xml:space="preserve"> in policy design</w:t>
      </w:r>
      <w:r w:rsidR="00D61BE0" w:rsidRPr="00577C42">
        <w:rPr>
          <w:b/>
          <w:color w:val="auto"/>
        </w:rPr>
        <w:t xml:space="preserve"> </w:t>
      </w:r>
      <w:r w:rsidR="00104456" w:rsidRPr="00577C42">
        <w:rPr>
          <w:b/>
          <w:color w:val="auto"/>
        </w:rPr>
        <w:t>may provide opportunities for peer pressure to overcome institutional reluctance</w:t>
      </w:r>
      <w:r w:rsidR="00104456" w:rsidRPr="00C032D3">
        <w:rPr>
          <w:b/>
          <w:color w:val="auto"/>
        </w:rPr>
        <w:t>.</w:t>
      </w:r>
      <w:r w:rsidR="00104456" w:rsidRPr="00577C42">
        <w:rPr>
          <w:color w:val="auto"/>
        </w:rPr>
        <w:t xml:space="preserve"> Hybrid governance, combining different modes and instruments of governance</w:t>
      </w:r>
      <w:r w:rsidR="00DD3ADD" w:rsidRPr="00577C42">
        <w:rPr>
          <w:color w:val="auto"/>
        </w:rPr>
        <w:t>,</w:t>
      </w:r>
      <w:r w:rsidR="00104456" w:rsidRPr="00577C42">
        <w:rPr>
          <w:color w:val="auto"/>
        </w:rPr>
        <w:t xml:space="preserve"> can help mutually strengthen institutional responses. </w:t>
      </w:r>
      <w:r w:rsidR="00D61BE0" w:rsidRPr="00577C42">
        <w:rPr>
          <w:color w:val="auto"/>
        </w:rPr>
        <w:t xml:space="preserve">There is no </w:t>
      </w:r>
      <w:r w:rsidR="00FA1C78" w:rsidRPr="00577C42">
        <w:rPr>
          <w:color w:val="auto"/>
        </w:rPr>
        <w:t>‘</w:t>
      </w:r>
      <w:r w:rsidR="00D61BE0" w:rsidRPr="00577C42">
        <w:rPr>
          <w:color w:val="auto"/>
        </w:rPr>
        <w:t>one size fits all</w:t>
      </w:r>
      <w:r w:rsidR="00FA1C78" w:rsidRPr="00577C42">
        <w:rPr>
          <w:color w:val="auto"/>
        </w:rPr>
        <w:t>’</w:t>
      </w:r>
      <w:r w:rsidR="00D61BE0" w:rsidRPr="00577C42">
        <w:rPr>
          <w:color w:val="auto"/>
        </w:rPr>
        <w:t xml:space="preserve"> governance structure, however. </w:t>
      </w:r>
      <w:r w:rsidR="00104456" w:rsidRPr="00577C42">
        <w:rPr>
          <w:color w:val="auto"/>
        </w:rPr>
        <w:t xml:space="preserve">As for policy effectiveness, different approaches have been proposed to gauge institutional effectiveness, involving both qualitative and quantitative methods. Increasingly important in international environmental policy discourse is the role of </w:t>
      </w:r>
      <w:r w:rsidR="00FA1C78" w:rsidRPr="00C032D3">
        <w:rPr>
          <w:color w:val="auto"/>
        </w:rPr>
        <w:t>non</w:t>
      </w:r>
      <w:r w:rsidR="00FA1C78" w:rsidRPr="00577C42">
        <w:rPr>
          <w:color w:val="auto"/>
        </w:rPr>
        <w:t>-</w:t>
      </w:r>
      <w:r w:rsidR="00104456" w:rsidRPr="00577C42">
        <w:rPr>
          <w:color w:val="auto"/>
        </w:rPr>
        <w:t xml:space="preserve">State actors such as local governments, cities and civil society </w:t>
      </w:r>
      <w:r w:rsidR="00104456" w:rsidRPr="00C032D3">
        <w:rPr>
          <w:color w:val="auto"/>
        </w:rPr>
        <w:t>organ</w:t>
      </w:r>
      <w:r w:rsidR="00FA1C78" w:rsidRPr="00C032D3">
        <w:rPr>
          <w:color w:val="auto"/>
        </w:rPr>
        <w:t>iza</w:t>
      </w:r>
      <w:r w:rsidR="00104456" w:rsidRPr="00C032D3">
        <w:rPr>
          <w:color w:val="auto"/>
        </w:rPr>
        <w:t>tions</w:t>
      </w:r>
      <w:r w:rsidR="00104456" w:rsidRPr="00577C42">
        <w:rPr>
          <w:color w:val="auto"/>
        </w:rPr>
        <w:t xml:space="preserve">. As the 17 SDGs are intended to be fully integrated and universal, several countries are now grappling with the </w:t>
      </w:r>
      <w:r w:rsidR="00DD3ADD" w:rsidRPr="00577C42">
        <w:rPr>
          <w:color w:val="auto"/>
        </w:rPr>
        <w:t xml:space="preserve">task </w:t>
      </w:r>
      <w:r w:rsidR="00104456" w:rsidRPr="00577C42">
        <w:rPr>
          <w:color w:val="auto"/>
        </w:rPr>
        <w:t xml:space="preserve">of </w:t>
      </w:r>
      <w:r w:rsidR="00DD3ADD" w:rsidRPr="00577C42">
        <w:rPr>
          <w:color w:val="auto"/>
        </w:rPr>
        <w:t>de</w:t>
      </w:r>
      <w:r w:rsidR="00C62636" w:rsidRPr="00577C42">
        <w:rPr>
          <w:color w:val="auto"/>
        </w:rPr>
        <w:t>v</w:t>
      </w:r>
      <w:r w:rsidR="00DD3ADD" w:rsidRPr="00577C42">
        <w:rPr>
          <w:color w:val="auto"/>
        </w:rPr>
        <w:t>i</w:t>
      </w:r>
      <w:r w:rsidR="00C62636" w:rsidRPr="00577C42">
        <w:rPr>
          <w:color w:val="auto"/>
        </w:rPr>
        <w:t>s</w:t>
      </w:r>
      <w:r w:rsidR="00DD3ADD" w:rsidRPr="00577C42">
        <w:rPr>
          <w:color w:val="auto"/>
        </w:rPr>
        <w:t xml:space="preserve">ing </w:t>
      </w:r>
      <w:r w:rsidR="00104456" w:rsidRPr="00577C42">
        <w:rPr>
          <w:color w:val="auto"/>
        </w:rPr>
        <w:t xml:space="preserve">the most effective </w:t>
      </w:r>
      <w:r w:rsidR="00104456" w:rsidRPr="00577C42">
        <w:rPr>
          <w:color w:val="auto"/>
        </w:rPr>
        <w:lastRenderedPageBreak/>
        <w:t xml:space="preserve">institutional arrangement to address the desired vertical and horizontal </w:t>
      </w:r>
      <w:r>
        <w:rPr>
          <w:color w:val="auto"/>
        </w:rPr>
        <w:t xml:space="preserve">policy </w:t>
      </w:r>
      <w:r w:rsidR="00104456" w:rsidRPr="00577C42">
        <w:rPr>
          <w:color w:val="auto"/>
        </w:rPr>
        <w:t>integration.</w:t>
      </w:r>
      <w:r w:rsidR="00C94259">
        <w:rPr>
          <w:color w:val="auto"/>
        </w:rPr>
        <w:t xml:space="preserve"> </w:t>
      </w:r>
      <w:r w:rsidR="00FE2590">
        <w:rPr>
          <w:color w:val="auto"/>
        </w:rPr>
        <w:t>{</w:t>
      </w:r>
      <w:r w:rsidR="00C94259">
        <w:rPr>
          <w:color w:val="auto"/>
        </w:rPr>
        <w:t>11.4.2</w:t>
      </w:r>
      <w:r w:rsidR="00FE2590">
        <w:rPr>
          <w:color w:val="auto"/>
        </w:rPr>
        <w:t>}</w:t>
      </w:r>
    </w:p>
    <w:p w14:paraId="0517BA1A" w14:textId="72DEBDBB" w:rsidR="00104456" w:rsidRPr="00577C42" w:rsidRDefault="00104456" w:rsidP="007C367A">
      <w:pPr>
        <w:pStyle w:val="Heading4"/>
        <w:sectPr w:rsidR="00104456" w:rsidRPr="00577C42" w:rsidSect="005706F9">
          <w:headerReference w:type="default" r:id="rId8"/>
          <w:footerReference w:type="default" r:id="rId9"/>
          <w:pgSz w:w="11907" w:h="16839"/>
          <w:pgMar w:top="1440" w:right="1440" w:bottom="1440" w:left="1530" w:header="720" w:footer="720" w:gutter="0"/>
          <w:cols w:space="720"/>
          <w:docGrid w:linePitch="326"/>
        </w:sectPr>
      </w:pPr>
      <w:r w:rsidRPr="00577C42">
        <w:rPr>
          <w:b/>
          <w:color w:val="auto"/>
        </w:rPr>
        <w:t>Finally, the importance of good policy design cannot be overstressed.</w:t>
      </w:r>
      <w:r w:rsidRPr="00577C42">
        <w:rPr>
          <w:color w:val="auto"/>
        </w:rPr>
        <w:t xml:space="preserve"> Some common elements are</w:t>
      </w:r>
      <w:r w:rsidR="00DD3ADD" w:rsidRPr="00577C42">
        <w:rPr>
          <w:color w:val="auto"/>
        </w:rPr>
        <w:t>:</w:t>
      </w:r>
      <w:r w:rsidRPr="00577C42">
        <w:rPr>
          <w:color w:val="auto"/>
        </w:rPr>
        <w:t xml:space="preserve"> (</w:t>
      </w:r>
      <w:proofErr w:type="spellStart"/>
      <w:r w:rsidRPr="00577C42">
        <w:rPr>
          <w:color w:val="auto"/>
        </w:rPr>
        <w:t>i</w:t>
      </w:r>
      <w:proofErr w:type="spellEnd"/>
      <w:r w:rsidRPr="00577C42">
        <w:rPr>
          <w:color w:val="auto"/>
        </w:rPr>
        <w:t>) setting a long</w:t>
      </w:r>
      <w:r w:rsidR="00DD3ADD" w:rsidRPr="00577C42">
        <w:rPr>
          <w:color w:val="auto"/>
        </w:rPr>
        <w:t>-</w:t>
      </w:r>
      <w:r w:rsidRPr="00577C42">
        <w:rPr>
          <w:color w:val="auto"/>
        </w:rPr>
        <w:t>term vision and avoiding crisis</w:t>
      </w:r>
      <w:r w:rsidR="00DD3ADD" w:rsidRPr="00577C42">
        <w:rPr>
          <w:color w:val="auto"/>
        </w:rPr>
        <w:t>-</w:t>
      </w:r>
      <w:r w:rsidRPr="00577C42">
        <w:rPr>
          <w:color w:val="auto"/>
        </w:rPr>
        <w:t xml:space="preserve">mode policy decisions, through inclusive, participatory design processes; (ii) establishing a baseline, </w:t>
      </w:r>
      <w:r w:rsidR="00592421">
        <w:rPr>
          <w:color w:val="auto"/>
        </w:rPr>
        <w:t xml:space="preserve">as well as </w:t>
      </w:r>
      <w:r w:rsidRPr="00577C42">
        <w:rPr>
          <w:color w:val="auto"/>
        </w:rPr>
        <w:t xml:space="preserve">quantified targets and milestones; (iii) conducting </w:t>
      </w:r>
      <w:r w:rsidRPr="00577C42">
        <w:rPr>
          <w:i/>
          <w:color w:val="auto"/>
        </w:rPr>
        <w:t>ex ante</w:t>
      </w:r>
      <w:r w:rsidRPr="00577C42">
        <w:rPr>
          <w:color w:val="auto"/>
        </w:rPr>
        <w:t xml:space="preserve"> and </w:t>
      </w:r>
      <w:r w:rsidRPr="00577C42">
        <w:rPr>
          <w:i/>
          <w:color w:val="auto"/>
        </w:rPr>
        <w:t>ex post</w:t>
      </w:r>
      <w:r w:rsidRPr="00577C42">
        <w:rPr>
          <w:color w:val="auto"/>
        </w:rPr>
        <w:t xml:space="preserve"> cost</w:t>
      </w:r>
      <w:r w:rsidR="00DD3ADD" w:rsidRPr="00577C42">
        <w:rPr>
          <w:color w:val="auto"/>
        </w:rPr>
        <w:t>–</w:t>
      </w:r>
      <w:r w:rsidRPr="00577C42">
        <w:rPr>
          <w:color w:val="auto"/>
        </w:rPr>
        <w:t xml:space="preserve">benefit or cost-effectiveness analysis to ensure that public funds are being used most efficiently and effectively; (iv) building in </w:t>
      </w:r>
      <w:r w:rsidR="00592421">
        <w:rPr>
          <w:color w:val="auto"/>
        </w:rPr>
        <w:t xml:space="preserve">policy </w:t>
      </w:r>
      <w:r w:rsidRPr="00577C42">
        <w:rPr>
          <w:color w:val="auto"/>
        </w:rPr>
        <w:t>monitoring regimes during implementation, preferably involving affected stakeholders; and (v) conducting post-</w:t>
      </w:r>
      <w:r w:rsidR="00DD3ADD" w:rsidRPr="00577C42">
        <w:rPr>
          <w:color w:val="auto"/>
        </w:rPr>
        <w:t xml:space="preserve">intervention </w:t>
      </w:r>
      <w:r w:rsidRPr="00577C42">
        <w:rPr>
          <w:color w:val="auto"/>
        </w:rPr>
        <w:t>evaluation of the policy outcomes and impacts</w:t>
      </w:r>
      <w:r w:rsidR="00DD3ADD" w:rsidRPr="00577C42">
        <w:rPr>
          <w:color w:val="auto"/>
        </w:rPr>
        <w:t>,</w:t>
      </w:r>
      <w:r w:rsidRPr="00577C42">
        <w:rPr>
          <w:color w:val="auto"/>
        </w:rPr>
        <w:t xml:space="preserve"> to close the loop for future policy design improvements.</w:t>
      </w:r>
      <w:r w:rsidR="00C94259">
        <w:rPr>
          <w:color w:val="auto"/>
        </w:rPr>
        <w:t xml:space="preserve"> </w:t>
      </w:r>
      <w:r w:rsidR="00FE2590">
        <w:t>{</w:t>
      </w:r>
      <w:r w:rsidR="00C94259">
        <w:t>11.5</w:t>
      </w:r>
      <w:r w:rsidR="00FE2590">
        <w:t>}</w:t>
      </w:r>
    </w:p>
    <w:bookmarkEnd w:id="1"/>
    <w:p w14:paraId="78F67A0B" w14:textId="77777777" w:rsidR="00FA1C78" w:rsidRPr="00577C42" w:rsidRDefault="005D27EC" w:rsidP="00B04299">
      <w:pPr>
        <w:pStyle w:val="Heading2"/>
        <w:rPr>
          <w:color w:val="000000"/>
          <w14:textFill>
            <w14:solidFill>
              <w14:srgbClr w14:val="000000">
                <w14:lumMod w14:val="75000"/>
              </w14:srgbClr>
            </w14:solidFill>
          </w14:textFill>
        </w:rPr>
      </w:pPr>
      <w:r w:rsidRPr="00B04299">
        <w:lastRenderedPageBreak/>
        <w:t>Introduction</w:t>
      </w:r>
    </w:p>
    <w:p w14:paraId="4FB46E7E" w14:textId="77777777" w:rsidR="00B426DA" w:rsidRDefault="00FA1C78" w:rsidP="00086545">
      <w:pPr>
        <w:rPr>
          <w:color w:val="auto"/>
        </w:rPr>
      </w:pPr>
      <w:r w:rsidRPr="00577C42">
        <w:rPr>
          <w:color w:val="auto"/>
        </w:rPr>
        <w:t>Academic</w:t>
      </w:r>
      <w:r w:rsidR="008816C2" w:rsidRPr="00577C42">
        <w:rPr>
          <w:color w:val="auto"/>
        </w:rPr>
        <w:t xml:space="preserve"> and practical or policy</w:t>
      </w:r>
      <w:r w:rsidR="00EF5DE5" w:rsidRPr="00577C42">
        <w:rPr>
          <w:color w:val="auto"/>
        </w:rPr>
        <w:t xml:space="preserve"> </w:t>
      </w:r>
      <w:r w:rsidR="008816C2" w:rsidRPr="00577C42">
        <w:rPr>
          <w:color w:val="auto"/>
        </w:rPr>
        <w:t>advice</w:t>
      </w:r>
      <w:r w:rsidR="00EF5DE5" w:rsidRPr="00577C42">
        <w:rPr>
          <w:color w:val="auto"/>
        </w:rPr>
        <w:t>-</w:t>
      </w:r>
      <w:r w:rsidR="008816C2" w:rsidRPr="00577C42">
        <w:rPr>
          <w:color w:val="auto"/>
        </w:rPr>
        <w:t>related research ask</w:t>
      </w:r>
      <w:r w:rsidR="00B426DA">
        <w:rPr>
          <w:color w:val="auto"/>
        </w:rPr>
        <w:t>s</w:t>
      </w:r>
      <w:r w:rsidR="008816C2" w:rsidRPr="00577C42">
        <w:rPr>
          <w:color w:val="auto"/>
        </w:rPr>
        <w:t xml:space="preserve"> important questions about environmental policy. However, the literature still struggles with common conceptual and empirical challenges, including: </w:t>
      </w:r>
    </w:p>
    <w:p w14:paraId="7F7D6912" w14:textId="28993EBC" w:rsidR="00B426DA" w:rsidRDefault="008816C2" w:rsidP="00B426DA">
      <w:pPr>
        <w:pStyle w:val="ListParagraph"/>
        <w:numPr>
          <w:ilvl w:val="0"/>
          <w:numId w:val="12"/>
        </w:numPr>
        <w:rPr>
          <w:color w:val="auto"/>
        </w:rPr>
      </w:pPr>
      <w:r w:rsidRPr="007C367A">
        <w:rPr>
          <w:color w:val="auto"/>
        </w:rPr>
        <w:t>diverse conceptual</w:t>
      </w:r>
      <w:r w:rsidR="00FA1C78" w:rsidRPr="007C367A">
        <w:rPr>
          <w:color w:val="auto"/>
        </w:rPr>
        <w:t>iza</w:t>
      </w:r>
      <w:r w:rsidRPr="007C367A">
        <w:rPr>
          <w:color w:val="auto"/>
        </w:rPr>
        <w:t>tions and measurement</w:t>
      </w:r>
      <w:r w:rsidR="00EF5DE5" w:rsidRPr="007C367A">
        <w:rPr>
          <w:color w:val="auto"/>
        </w:rPr>
        <w:t>s</w:t>
      </w:r>
      <w:r w:rsidRPr="007C367A">
        <w:rPr>
          <w:color w:val="auto"/>
        </w:rPr>
        <w:t xml:space="preserve"> of policy, </w:t>
      </w:r>
      <w:r w:rsidR="00EF5DE5" w:rsidRPr="007C367A">
        <w:rPr>
          <w:color w:val="auto"/>
        </w:rPr>
        <w:t xml:space="preserve">which </w:t>
      </w:r>
      <w:r w:rsidRPr="007C367A">
        <w:rPr>
          <w:color w:val="auto"/>
        </w:rPr>
        <w:t>frustrat</w:t>
      </w:r>
      <w:r w:rsidR="00EF5DE5" w:rsidRPr="007C367A">
        <w:rPr>
          <w:color w:val="auto"/>
        </w:rPr>
        <w:t>e</w:t>
      </w:r>
      <w:r w:rsidRPr="007C367A">
        <w:rPr>
          <w:color w:val="auto"/>
        </w:rPr>
        <w:t xml:space="preserve"> general</w:t>
      </w:r>
      <w:r w:rsidR="00FA1C78" w:rsidRPr="007C367A">
        <w:rPr>
          <w:color w:val="auto"/>
        </w:rPr>
        <w:t>iza</w:t>
      </w:r>
      <w:r w:rsidRPr="007C367A">
        <w:rPr>
          <w:color w:val="auto"/>
        </w:rPr>
        <w:t>tion;</w:t>
      </w:r>
    </w:p>
    <w:p w14:paraId="6227CFC7" w14:textId="1A087C54" w:rsidR="00B426DA" w:rsidRDefault="008816C2" w:rsidP="00B426DA">
      <w:pPr>
        <w:pStyle w:val="ListParagraph"/>
        <w:numPr>
          <w:ilvl w:val="0"/>
          <w:numId w:val="12"/>
        </w:numPr>
        <w:rPr>
          <w:color w:val="auto"/>
        </w:rPr>
      </w:pPr>
      <w:r w:rsidRPr="007C367A">
        <w:rPr>
          <w:color w:val="auto"/>
        </w:rPr>
        <w:t xml:space="preserve">poorly understood dynamics of policy change and stability; and </w:t>
      </w:r>
    </w:p>
    <w:p w14:paraId="4679950A" w14:textId="529667AC" w:rsidR="00B426DA" w:rsidRDefault="008816C2" w:rsidP="00B426DA">
      <w:pPr>
        <w:pStyle w:val="ListParagraph"/>
        <w:numPr>
          <w:ilvl w:val="0"/>
          <w:numId w:val="12"/>
        </w:numPr>
        <w:rPr>
          <w:color w:val="auto"/>
        </w:rPr>
      </w:pPr>
      <w:r w:rsidRPr="007C367A">
        <w:rPr>
          <w:color w:val="auto"/>
        </w:rPr>
        <w:t xml:space="preserve">complex effects of policy design choices. </w:t>
      </w:r>
    </w:p>
    <w:p w14:paraId="27AD59ED" w14:textId="6F14246C" w:rsidR="00FA1C78" w:rsidRPr="007C367A" w:rsidRDefault="008816C2" w:rsidP="00B426DA">
      <w:pPr>
        <w:rPr>
          <w:color w:val="auto"/>
        </w:rPr>
      </w:pPr>
      <w:r w:rsidRPr="007C367A">
        <w:rPr>
          <w:color w:val="auto"/>
        </w:rPr>
        <w:t xml:space="preserve">Overall, these common challenges impede the comparability of findings across environmental policy fields, risking somewhat </w:t>
      </w:r>
      <w:r w:rsidR="00B426DA">
        <w:rPr>
          <w:color w:val="auto"/>
        </w:rPr>
        <w:t xml:space="preserve">narrow </w:t>
      </w:r>
      <w:r w:rsidRPr="007C367A">
        <w:rPr>
          <w:color w:val="auto"/>
        </w:rPr>
        <w:t>approaches and perspectives.</w:t>
      </w:r>
    </w:p>
    <w:p w14:paraId="3EE284DB" w14:textId="72C6357F" w:rsidR="00FA1C78" w:rsidRPr="00C032D3" w:rsidRDefault="008816C2" w:rsidP="00086545">
      <w:pPr>
        <w:rPr>
          <w:color w:val="auto"/>
        </w:rPr>
      </w:pPr>
      <w:r w:rsidRPr="00577C42">
        <w:rPr>
          <w:color w:val="auto"/>
        </w:rPr>
        <w:t xml:space="preserve">One potential starting point for overcoming this </w:t>
      </w:r>
      <w:r w:rsidR="00B426DA">
        <w:rPr>
          <w:color w:val="auto"/>
        </w:rPr>
        <w:t xml:space="preserve">narrow focus </w:t>
      </w:r>
      <w:r w:rsidRPr="00577C42">
        <w:rPr>
          <w:color w:val="auto"/>
        </w:rPr>
        <w:t xml:space="preserve">is a renewed interest in policy design. Are there common elements of </w:t>
      </w:r>
      <w:r w:rsidR="00FA1C78" w:rsidRPr="00577C42">
        <w:rPr>
          <w:color w:val="auto"/>
        </w:rPr>
        <w:t>‘</w:t>
      </w:r>
      <w:r w:rsidRPr="00577C42">
        <w:rPr>
          <w:color w:val="auto"/>
        </w:rPr>
        <w:t>good</w:t>
      </w:r>
      <w:r w:rsidR="00FA1C78" w:rsidRPr="00577C42">
        <w:rPr>
          <w:color w:val="auto"/>
        </w:rPr>
        <w:t>’</w:t>
      </w:r>
      <w:r w:rsidRPr="00577C42">
        <w:rPr>
          <w:color w:val="auto"/>
        </w:rPr>
        <w:t xml:space="preserve"> policy design that are transferable across problem domains? How do </w:t>
      </w:r>
      <w:r w:rsidR="00FA1C78" w:rsidRPr="00C032D3">
        <w:rPr>
          <w:color w:val="auto"/>
        </w:rPr>
        <w:t>policymak</w:t>
      </w:r>
      <w:r w:rsidRPr="00577C42">
        <w:rPr>
          <w:color w:val="auto"/>
        </w:rPr>
        <w:t>ers search for effective policy precedents</w:t>
      </w:r>
      <w:r w:rsidR="00EF5DE5" w:rsidRPr="00577C42">
        <w:rPr>
          <w:color w:val="auto"/>
        </w:rPr>
        <w:t>,</w:t>
      </w:r>
      <w:r w:rsidRPr="00577C42">
        <w:rPr>
          <w:color w:val="auto"/>
        </w:rPr>
        <w:t xml:space="preserve"> and how does this search lead to policy diffusion across countries and across problem domains? How does the theoretical understanding of policy design contribute to policy </w:t>
      </w:r>
      <w:r w:rsidR="00FA1C78" w:rsidRPr="00C032D3">
        <w:rPr>
          <w:color w:val="auto"/>
        </w:rPr>
        <w:t>practice</w:t>
      </w:r>
      <w:r w:rsidRPr="00577C42">
        <w:rPr>
          <w:color w:val="auto"/>
        </w:rPr>
        <w:t>?</w:t>
      </w:r>
    </w:p>
    <w:p w14:paraId="3B12E91B" w14:textId="1A18A79A" w:rsidR="00FA1C78" w:rsidRPr="00577C42" w:rsidRDefault="001851F6" w:rsidP="001851F6">
      <w:pPr>
        <w:jc w:val="center"/>
        <w:rPr>
          <w:color w:val="auto"/>
        </w:rPr>
      </w:pPr>
      <w:r w:rsidRPr="00577C42">
        <w:rPr>
          <w:noProof/>
          <w:color w:val="auto"/>
          <w:lang w:val="en-US" w:eastAsia="en-US"/>
        </w:rPr>
        <w:drawing>
          <wp:inline distT="0" distB="0" distL="0" distR="0" wp14:anchorId="493D1E15" wp14:editId="4605F7F1">
            <wp:extent cx="3781958" cy="29781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780" cy="3002413"/>
                    </a:xfrm>
                    <a:prstGeom prst="rect">
                      <a:avLst/>
                    </a:prstGeom>
                    <a:noFill/>
                    <a:ln>
                      <a:noFill/>
                    </a:ln>
                  </pic:spPr>
                </pic:pic>
              </a:graphicData>
            </a:graphic>
          </wp:inline>
        </w:drawing>
      </w:r>
    </w:p>
    <w:p w14:paraId="6A50E4A6" w14:textId="6C118856" w:rsidR="00FA1C78" w:rsidRPr="00B04299" w:rsidRDefault="006C01EF" w:rsidP="00B04299">
      <w:pPr>
        <w:pStyle w:val="Caption"/>
      </w:pPr>
      <w:bookmarkStart w:id="2" w:name="_Ref525083242"/>
      <w:r w:rsidRPr="00B04299">
        <w:t xml:space="preserve">Figure </w:t>
      </w:r>
      <w:fldSimple w:instr=" STYLEREF 1 \s ">
        <w:r w:rsidRPr="00B04299">
          <w:t>11</w:t>
        </w:r>
      </w:fldSimple>
      <w:r w:rsidRPr="00B04299">
        <w:t>.</w:t>
      </w:r>
      <w:fldSimple w:instr=" SEQ Figure \* ARABIC \s 1 ">
        <w:r w:rsidRPr="00B04299">
          <w:t>1</w:t>
        </w:r>
      </w:fldSimple>
      <w:bookmarkEnd w:id="2"/>
      <w:r w:rsidRPr="00B04299">
        <w:t xml:space="preserve">: Conceptual </w:t>
      </w:r>
      <w:r w:rsidR="00EF5DE5" w:rsidRPr="00B04299">
        <w:t>o</w:t>
      </w:r>
      <w:r w:rsidRPr="00B04299">
        <w:t xml:space="preserve">utline of </w:t>
      </w:r>
      <w:r w:rsidR="00EF5DE5" w:rsidRPr="00B04299">
        <w:t>p</w:t>
      </w:r>
      <w:r w:rsidRPr="00B04299">
        <w:t xml:space="preserve">olicy </w:t>
      </w:r>
      <w:r w:rsidR="00EF5DE5" w:rsidRPr="00B04299">
        <w:t>e</w:t>
      </w:r>
      <w:r w:rsidRPr="00B04299">
        <w:t xml:space="preserve">ffectiveness </w:t>
      </w:r>
      <w:r w:rsidR="00EF5DE5" w:rsidRPr="00B04299">
        <w:t>a</w:t>
      </w:r>
      <w:r w:rsidRPr="00B04299">
        <w:t>nalysis</w:t>
      </w:r>
    </w:p>
    <w:p w14:paraId="4FA22F9A" w14:textId="231E1BBB" w:rsidR="00FA1C78" w:rsidRPr="00577C42" w:rsidRDefault="001851F6" w:rsidP="00086545">
      <w:pPr>
        <w:rPr>
          <w:color w:val="auto"/>
        </w:rPr>
      </w:pPr>
      <w:r w:rsidRPr="00577C42">
        <w:rPr>
          <w:color w:val="auto"/>
        </w:rPr>
        <w:t>This section examines the literature and teases out some lessons learned for validation by the policy domains/instruments and governance arrangements and associated case studies in Chapters 12</w:t>
      </w:r>
      <w:r w:rsidR="00EF5DE5" w:rsidRPr="00577C42">
        <w:rPr>
          <w:color w:val="auto"/>
        </w:rPr>
        <w:t>–</w:t>
      </w:r>
      <w:r w:rsidRPr="00577C42">
        <w:rPr>
          <w:color w:val="auto"/>
        </w:rPr>
        <w:t>17 of Part B (</w:t>
      </w:r>
      <w:r w:rsidR="00B426DA">
        <w:rPr>
          <w:color w:val="auto"/>
        </w:rPr>
        <w:fldChar w:fldCharType="begin"/>
      </w:r>
      <w:r w:rsidR="00B426DA">
        <w:rPr>
          <w:color w:val="auto"/>
        </w:rPr>
        <w:instrText xml:space="preserve"> REF _Ref525083242 \h </w:instrText>
      </w:r>
      <w:r w:rsidR="00B426DA">
        <w:rPr>
          <w:color w:val="auto"/>
        </w:rPr>
      </w:r>
      <w:r w:rsidR="00B426DA">
        <w:rPr>
          <w:color w:val="auto"/>
        </w:rPr>
        <w:fldChar w:fldCharType="separate"/>
      </w:r>
      <w:r w:rsidR="00B426DA" w:rsidRPr="00B04299">
        <w:t>Figure 11.1</w:t>
      </w:r>
      <w:r w:rsidR="00B426DA">
        <w:rPr>
          <w:color w:val="auto"/>
        </w:rPr>
        <w:fldChar w:fldCharType="end"/>
      </w:r>
      <w:r w:rsidRPr="00577C42">
        <w:rPr>
          <w:color w:val="auto"/>
        </w:rPr>
        <w:t xml:space="preserve">). Essentially, it addresses the top portion of </w:t>
      </w:r>
      <w:r w:rsidR="00B426DA">
        <w:rPr>
          <w:color w:val="auto"/>
        </w:rPr>
        <w:fldChar w:fldCharType="begin"/>
      </w:r>
      <w:r w:rsidR="00B426DA">
        <w:rPr>
          <w:color w:val="auto"/>
        </w:rPr>
        <w:instrText xml:space="preserve"> REF _Ref525083242 \h </w:instrText>
      </w:r>
      <w:r w:rsidR="00B426DA">
        <w:rPr>
          <w:color w:val="auto"/>
        </w:rPr>
      </w:r>
      <w:r w:rsidR="00B426DA">
        <w:rPr>
          <w:color w:val="auto"/>
        </w:rPr>
        <w:fldChar w:fldCharType="separate"/>
      </w:r>
      <w:r w:rsidR="00B426DA" w:rsidRPr="00B04299">
        <w:t>Figure 11.1</w:t>
      </w:r>
      <w:r w:rsidR="00B426DA">
        <w:rPr>
          <w:color w:val="auto"/>
        </w:rPr>
        <w:fldChar w:fldCharType="end"/>
      </w:r>
      <w:r w:rsidRPr="00577C42">
        <w:rPr>
          <w:color w:val="auto"/>
        </w:rPr>
        <w:t>, while Chapters 12</w:t>
      </w:r>
      <w:r w:rsidR="00EF5DE5" w:rsidRPr="00577C42">
        <w:rPr>
          <w:color w:val="auto"/>
        </w:rPr>
        <w:t>–</w:t>
      </w:r>
      <w:r w:rsidRPr="00577C42">
        <w:rPr>
          <w:color w:val="auto"/>
        </w:rPr>
        <w:t xml:space="preserve">17 explore the lower half. </w:t>
      </w:r>
      <w:r w:rsidR="00B426DA">
        <w:rPr>
          <w:color w:val="auto"/>
        </w:rPr>
        <w:fldChar w:fldCharType="begin"/>
      </w:r>
      <w:r w:rsidR="00B426DA">
        <w:rPr>
          <w:color w:val="auto"/>
        </w:rPr>
        <w:instrText xml:space="preserve"> REF _Ref525083242 \h </w:instrText>
      </w:r>
      <w:r w:rsidR="00B426DA">
        <w:rPr>
          <w:color w:val="auto"/>
        </w:rPr>
      </w:r>
      <w:r w:rsidR="00B426DA">
        <w:rPr>
          <w:color w:val="auto"/>
        </w:rPr>
        <w:fldChar w:fldCharType="separate"/>
      </w:r>
      <w:r w:rsidR="00B426DA" w:rsidRPr="00B04299">
        <w:t>Figure 11.1</w:t>
      </w:r>
      <w:r w:rsidR="00B426DA">
        <w:rPr>
          <w:color w:val="auto"/>
        </w:rPr>
        <w:fldChar w:fldCharType="end"/>
      </w:r>
      <w:r w:rsidRPr="00577C42">
        <w:rPr>
          <w:color w:val="auto"/>
        </w:rPr>
        <w:t xml:space="preserve">illustrates the importance of </w:t>
      </w:r>
      <w:r w:rsidR="00DF26F1" w:rsidRPr="00577C42">
        <w:rPr>
          <w:color w:val="auto"/>
        </w:rPr>
        <w:t>going beyond an analysis of individual policy instruments when trying to determine policy effectiveness.</w:t>
      </w:r>
      <w:r w:rsidR="00FA1C78" w:rsidRPr="00C032D3">
        <w:rPr>
          <w:color w:val="auto"/>
        </w:rPr>
        <w:t xml:space="preserve"> </w:t>
      </w:r>
      <w:r w:rsidR="00DF26F1" w:rsidRPr="00577C42">
        <w:rPr>
          <w:color w:val="auto"/>
        </w:rPr>
        <w:t xml:space="preserve">At the policy design stage, policymakers </w:t>
      </w:r>
      <w:r w:rsidR="00B426DA">
        <w:rPr>
          <w:color w:val="auto"/>
        </w:rPr>
        <w:t xml:space="preserve">should </w:t>
      </w:r>
      <w:r w:rsidR="00DF26F1" w:rsidRPr="00577C42">
        <w:rPr>
          <w:color w:val="auto"/>
        </w:rPr>
        <w:t xml:space="preserve">examine how an environmental policy will either support or conflict with policies in other sectors, and vice versa. Various policy integration tools </w:t>
      </w:r>
      <w:r w:rsidR="00DF26F1" w:rsidRPr="00577C42">
        <w:rPr>
          <w:color w:val="auto"/>
        </w:rPr>
        <w:lastRenderedPageBreak/>
        <w:t>are available to contribute to this design requirement.</w:t>
      </w:r>
      <w:r w:rsidR="00FA1C78" w:rsidRPr="00C032D3">
        <w:rPr>
          <w:color w:val="auto"/>
        </w:rPr>
        <w:t xml:space="preserve"> </w:t>
      </w:r>
      <w:r w:rsidR="00DF26F1" w:rsidRPr="00577C42">
        <w:rPr>
          <w:color w:val="auto"/>
        </w:rPr>
        <w:t xml:space="preserve">Within the environmental policy mix, policymakers </w:t>
      </w:r>
      <w:r w:rsidR="00B426DA">
        <w:rPr>
          <w:color w:val="auto"/>
        </w:rPr>
        <w:t xml:space="preserve">should </w:t>
      </w:r>
      <w:r w:rsidR="00DF26F1" w:rsidRPr="00577C42">
        <w:rPr>
          <w:color w:val="auto"/>
        </w:rPr>
        <w:t xml:space="preserve">ensure that any new policy is coherent with and supportive of the intended policy outcomes. Policymakers </w:t>
      </w:r>
      <w:r w:rsidR="001B4D9F" w:rsidRPr="00577C42">
        <w:rPr>
          <w:color w:val="auto"/>
        </w:rPr>
        <w:t xml:space="preserve">at multiple levels of governance </w:t>
      </w:r>
      <w:r w:rsidR="00DF26F1" w:rsidRPr="00577C42">
        <w:rPr>
          <w:color w:val="auto"/>
        </w:rPr>
        <w:t>may also examine experience from other countries</w:t>
      </w:r>
      <w:r w:rsidR="001B4D9F" w:rsidRPr="00577C42">
        <w:rPr>
          <w:color w:val="auto"/>
        </w:rPr>
        <w:t xml:space="preserve">, </w:t>
      </w:r>
      <w:r w:rsidR="00FA1C78" w:rsidRPr="00C032D3">
        <w:rPr>
          <w:color w:val="auto"/>
        </w:rPr>
        <w:t>sub</w:t>
      </w:r>
      <w:r w:rsidR="001B4D9F" w:rsidRPr="00577C42">
        <w:rPr>
          <w:color w:val="auto"/>
        </w:rPr>
        <w:t>national areas or corporations</w:t>
      </w:r>
      <w:r w:rsidR="00DF26F1" w:rsidRPr="00577C42">
        <w:rPr>
          <w:color w:val="auto"/>
        </w:rPr>
        <w:t xml:space="preserve">, leading to policy diffusion across </w:t>
      </w:r>
      <w:r w:rsidR="00FA1C78" w:rsidRPr="00577C42">
        <w:rPr>
          <w:color w:val="auto"/>
        </w:rPr>
        <w:t>border</w:t>
      </w:r>
      <w:r w:rsidR="00DF26F1" w:rsidRPr="00577C42">
        <w:rPr>
          <w:color w:val="auto"/>
        </w:rPr>
        <w:t xml:space="preserve">s and over time. In subsequent chapters, this experience is examined from the perspective of multiple case studies, to tease out </w:t>
      </w:r>
      <w:r w:rsidR="001B4D9F" w:rsidRPr="00577C42">
        <w:rPr>
          <w:color w:val="auto"/>
        </w:rPr>
        <w:t xml:space="preserve">explanations of why particular policy approaches appear to have been more, or less, effective, as </w:t>
      </w:r>
      <w:r w:rsidR="00FA1C78" w:rsidRPr="00C032D3">
        <w:rPr>
          <w:color w:val="auto"/>
        </w:rPr>
        <w:t>well</w:t>
      </w:r>
      <w:r w:rsidR="001B4D9F" w:rsidRPr="00577C42">
        <w:rPr>
          <w:color w:val="auto"/>
        </w:rPr>
        <w:t xml:space="preserve"> as </w:t>
      </w:r>
      <w:r w:rsidR="00EF5DE5" w:rsidRPr="00577C42">
        <w:rPr>
          <w:color w:val="auto"/>
        </w:rPr>
        <w:t xml:space="preserve">to </w:t>
      </w:r>
      <w:r w:rsidR="00F42D4B" w:rsidRPr="00577C42">
        <w:rPr>
          <w:color w:val="auto"/>
        </w:rPr>
        <w:t xml:space="preserve">analyse </w:t>
      </w:r>
      <w:r w:rsidR="001B4D9F" w:rsidRPr="00577C42">
        <w:rPr>
          <w:color w:val="auto"/>
        </w:rPr>
        <w:t>policy</w:t>
      </w:r>
      <w:r w:rsidR="00EF5DE5" w:rsidRPr="00577C42">
        <w:rPr>
          <w:color w:val="auto"/>
        </w:rPr>
        <w:t>-</w:t>
      </w:r>
      <w:r w:rsidR="00F42D4B" w:rsidRPr="00577C42">
        <w:rPr>
          <w:color w:val="auto"/>
        </w:rPr>
        <w:t xml:space="preserve">sensitive </w:t>
      </w:r>
      <w:r w:rsidR="001B4D9F" w:rsidRPr="00577C42">
        <w:rPr>
          <w:color w:val="auto"/>
        </w:rPr>
        <w:t>indicators.</w:t>
      </w:r>
    </w:p>
    <w:p w14:paraId="5FE2A61B" w14:textId="77777777" w:rsidR="00FA1C78" w:rsidRPr="00577C42" w:rsidRDefault="008816C2" w:rsidP="00B04299">
      <w:pPr>
        <w:pStyle w:val="Heading2"/>
      </w:pPr>
      <w:bookmarkStart w:id="3" w:name="_hux15qfpyn85" w:colFirst="0" w:colLast="0"/>
      <w:bookmarkStart w:id="4" w:name="_Toc511747970"/>
      <w:bookmarkEnd w:id="3"/>
      <w:r w:rsidRPr="00577C42">
        <w:t>Policy design</w:t>
      </w:r>
      <w:bookmarkEnd w:id="4"/>
    </w:p>
    <w:p w14:paraId="7E7897FA" w14:textId="378F3296" w:rsidR="00FA1C78" w:rsidRPr="00577C42" w:rsidRDefault="008816C2" w:rsidP="00086545">
      <w:pPr>
        <w:rPr>
          <w:color w:val="auto"/>
        </w:rPr>
      </w:pPr>
      <w:r w:rsidRPr="00577C42">
        <w:rPr>
          <w:color w:val="auto"/>
        </w:rPr>
        <w:t>The challenges described above, relat</w:t>
      </w:r>
      <w:r w:rsidR="00B426DA">
        <w:rPr>
          <w:color w:val="auto"/>
        </w:rPr>
        <w:t>e</w:t>
      </w:r>
      <w:r w:rsidRPr="00577C42">
        <w:rPr>
          <w:color w:val="auto"/>
        </w:rPr>
        <w:t xml:space="preserve"> both to the spatial and temporal dynamics of policy change and to the complexity of </w:t>
      </w:r>
      <w:r w:rsidR="001B4D9F" w:rsidRPr="00577C42">
        <w:rPr>
          <w:color w:val="auto"/>
        </w:rPr>
        <w:t xml:space="preserve">how </w:t>
      </w:r>
      <w:r w:rsidRPr="00577C42">
        <w:rPr>
          <w:color w:val="auto"/>
        </w:rPr>
        <w:t>policy instruments interplay within a policy mix</w:t>
      </w:r>
      <w:r w:rsidR="00B426DA">
        <w:rPr>
          <w:color w:val="auto"/>
        </w:rPr>
        <w:t>.  These</w:t>
      </w:r>
      <w:r w:rsidR="008435D3">
        <w:rPr>
          <w:color w:val="auto"/>
        </w:rPr>
        <w:t xml:space="preserve"> </w:t>
      </w:r>
      <w:r w:rsidRPr="00577C42">
        <w:rPr>
          <w:color w:val="auto"/>
        </w:rPr>
        <w:t>have led to a renewed interest in questions of policy design (</w:t>
      </w:r>
      <w:bookmarkStart w:id="5" w:name="OLE_LINK3"/>
      <w:bookmarkStart w:id="6" w:name="OLE_LINK4"/>
      <w:r w:rsidRPr="00577C42">
        <w:rPr>
          <w:color w:val="auto"/>
        </w:rPr>
        <w:t>Howlett</w:t>
      </w:r>
      <w:bookmarkEnd w:id="5"/>
      <w:bookmarkEnd w:id="6"/>
      <w:r w:rsidRPr="00577C42">
        <w:rPr>
          <w:color w:val="auto"/>
        </w:rPr>
        <w:t xml:space="preserve"> and </w:t>
      </w:r>
      <w:proofErr w:type="spellStart"/>
      <w:r w:rsidRPr="00577C42">
        <w:rPr>
          <w:color w:val="auto"/>
        </w:rPr>
        <w:t>Lejano</w:t>
      </w:r>
      <w:proofErr w:type="spellEnd"/>
      <w:r w:rsidRPr="00577C42">
        <w:rPr>
          <w:color w:val="auto"/>
        </w:rPr>
        <w:t xml:space="preserve"> </w:t>
      </w:r>
      <w:r w:rsidR="00FA1C78" w:rsidRPr="00C032D3">
        <w:rPr>
          <w:color w:val="auto"/>
        </w:rPr>
        <w:t>2013</w:t>
      </w:r>
      <w:r w:rsidRPr="00577C42">
        <w:rPr>
          <w:color w:val="auto"/>
        </w:rPr>
        <w:t xml:space="preserve">). The literature acknowledges the complexities of design elements in dense policy mixes (Howlett and </w:t>
      </w:r>
      <w:proofErr w:type="spellStart"/>
      <w:r w:rsidRPr="00577C42">
        <w:rPr>
          <w:color w:val="auto"/>
        </w:rPr>
        <w:t>Cashore</w:t>
      </w:r>
      <w:proofErr w:type="spellEnd"/>
      <w:r w:rsidRPr="00577C42">
        <w:rPr>
          <w:color w:val="auto"/>
        </w:rPr>
        <w:t xml:space="preserve"> </w:t>
      </w:r>
      <w:r w:rsidR="00FA1C78" w:rsidRPr="00C032D3">
        <w:rPr>
          <w:color w:val="auto"/>
        </w:rPr>
        <w:t>2009</w:t>
      </w:r>
      <w:r w:rsidRPr="00577C42">
        <w:rPr>
          <w:color w:val="auto"/>
        </w:rPr>
        <w:t xml:space="preserve">; Howlett and del Rio </w:t>
      </w:r>
      <w:r w:rsidR="00FA1C78" w:rsidRPr="00C032D3">
        <w:rPr>
          <w:color w:val="auto"/>
        </w:rPr>
        <w:t>2015</w:t>
      </w:r>
      <w:r w:rsidRPr="00577C42">
        <w:rPr>
          <w:color w:val="auto"/>
        </w:rPr>
        <w:t xml:space="preserve">; Young </w:t>
      </w:r>
      <w:r w:rsidR="00FA1C78" w:rsidRPr="00C032D3">
        <w:rPr>
          <w:color w:val="auto"/>
        </w:rPr>
        <w:t>2017</w:t>
      </w:r>
      <w:r w:rsidRPr="00577C42">
        <w:rPr>
          <w:color w:val="auto"/>
        </w:rPr>
        <w:t>), and it also rec</w:t>
      </w:r>
      <w:r w:rsidR="00FA1C78" w:rsidRPr="00C032D3">
        <w:rPr>
          <w:color w:val="auto"/>
        </w:rPr>
        <w:t>o</w:t>
      </w:r>
      <w:r w:rsidR="00FA1C78" w:rsidRPr="00577C42">
        <w:rPr>
          <w:color w:val="auto"/>
        </w:rPr>
        <w:t>gn</w:t>
      </w:r>
      <w:r w:rsidRPr="00577C42">
        <w:rPr>
          <w:color w:val="auto"/>
        </w:rPr>
        <w:t>izes that the compliance system highly influences it (</w:t>
      </w:r>
      <w:r w:rsidR="00FA1C78" w:rsidRPr="00C032D3">
        <w:rPr>
          <w:color w:val="auto"/>
        </w:rPr>
        <w:t>Grey</w:t>
      </w:r>
      <w:r w:rsidRPr="00577C42">
        <w:rPr>
          <w:color w:val="auto"/>
        </w:rPr>
        <w:t xml:space="preserve"> and </w:t>
      </w:r>
      <w:proofErr w:type="spellStart"/>
      <w:r w:rsidRPr="00577C42">
        <w:rPr>
          <w:color w:val="auto"/>
        </w:rPr>
        <w:t>Shimshack</w:t>
      </w:r>
      <w:proofErr w:type="spellEnd"/>
      <w:r w:rsidRPr="00577C42">
        <w:rPr>
          <w:color w:val="auto"/>
        </w:rPr>
        <w:t xml:space="preserve"> </w:t>
      </w:r>
      <w:r w:rsidR="00FA1C78" w:rsidRPr="00C032D3">
        <w:rPr>
          <w:color w:val="auto"/>
        </w:rPr>
        <w:t>2011</w:t>
      </w:r>
      <w:r w:rsidRPr="00577C42">
        <w:rPr>
          <w:color w:val="auto"/>
        </w:rPr>
        <w:t>). However, as the research agenda develops, approaches for institutional diagnosis (</w:t>
      </w:r>
      <w:bookmarkStart w:id="7" w:name="OLE_LINK7"/>
      <w:bookmarkStart w:id="8" w:name="OLE_LINK8"/>
      <w:r w:rsidR="00730857" w:rsidRPr="00577C42">
        <w:rPr>
          <w:color w:val="auto"/>
        </w:rPr>
        <w:t xml:space="preserve">Young </w:t>
      </w:r>
      <w:r w:rsidR="00FA1C78" w:rsidRPr="00C032D3">
        <w:rPr>
          <w:color w:val="auto"/>
        </w:rPr>
        <w:t>2008</w:t>
      </w:r>
      <w:r w:rsidR="00730857" w:rsidRPr="00577C42">
        <w:rPr>
          <w:color w:val="auto"/>
        </w:rPr>
        <w:t xml:space="preserve">; </w:t>
      </w:r>
      <w:r w:rsidRPr="00577C42">
        <w:rPr>
          <w:color w:val="auto"/>
        </w:rPr>
        <w:t>Ostrom</w:t>
      </w:r>
      <w:bookmarkEnd w:id="7"/>
      <w:bookmarkEnd w:id="8"/>
      <w:r w:rsidRPr="00577C42">
        <w:rPr>
          <w:color w:val="auto"/>
        </w:rPr>
        <w:t xml:space="preserve"> </w:t>
      </w:r>
      <w:r w:rsidR="00FA1C78" w:rsidRPr="00C032D3">
        <w:rPr>
          <w:color w:val="auto"/>
        </w:rPr>
        <w:t>2009</w:t>
      </w:r>
      <w:r w:rsidRPr="00577C42">
        <w:rPr>
          <w:color w:val="auto"/>
        </w:rPr>
        <w:t>), empirical assessment and analysis of policy change (</w:t>
      </w:r>
      <w:bookmarkStart w:id="9" w:name="OLE_LINK11"/>
      <w:bookmarkStart w:id="10" w:name="OLE_LINK12"/>
      <w:proofErr w:type="spellStart"/>
      <w:r w:rsidR="00730857" w:rsidRPr="00577C42">
        <w:rPr>
          <w:color w:val="auto"/>
        </w:rPr>
        <w:t>Jabbour</w:t>
      </w:r>
      <w:proofErr w:type="spellEnd"/>
      <w:r w:rsidR="00730857" w:rsidRPr="00577C42">
        <w:rPr>
          <w:color w:val="auto"/>
        </w:rPr>
        <w:t xml:space="preserve"> </w:t>
      </w:r>
      <w:r w:rsidR="00730857" w:rsidRPr="00577C42">
        <w:rPr>
          <w:i/>
          <w:color w:val="auto"/>
        </w:rPr>
        <w:t>et al.</w:t>
      </w:r>
      <w:r w:rsidR="00730857" w:rsidRPr="00577C42">
        <w:rPr>
          <w:color w:val="auto"/>
        </w:rPr>
        <w:t xml:space="preserve"> </w:t>
      </w:r>
      <w:r w:rsidR="00FA1C78" w:rsidRPr="00C032D3">
        <w:rPr>
          <w:color w:val="auto"/>
        </w:rPr>
        <w:t>2012</w:t>
      </w:r>
      <w:r w:rsidR="00730857" w:rsidRPr="00577C42">
        <w:rPr>
          <w:color w:val="auto"/>
        </w:rPr>
        <w:t xml:space="preserve">; </w:t>
      </w:r>
      <w:proofErr w:type="spellStart"/>
      <w:r w:rsidRPr="00577C42">
        <w:rPr>
          <w:color w:val="auto"/>
        </w:rPr>
        <w:t>Knill</w:t>
      </w:r>
      <w:bookmarkEnd w:id="9"/>
      <w:bookmarkEnd w:id="10"/>
      <w:proofErr w:type="spellEnd"/>
      <w:r w:rsidR="00730857" w:rsidRPr="00577C42">
        <w:rPr>
          <w:color w:val="auto"/>
        </w:rPr>
        <w:t xml:space="preserve">, Schulze and </w:t>
      </w:r>
      <w:proofErr w:type="spellStart"/>
      <w:r w:rsidR="00730857" w:rsidRPr="00577C42">
        <w:rPr>
          <w:color w:val="auto"/>
        </w:rPr>
        <w:t>Tosun</w:t>
      </w:r>
      <w:proofErr w:type="spellEnd"/>
      <w:r w:rsidR="00730857" w:rsidRPr="00577C42">
        <w:rPr>
          <w:color w:val="auto"/>
        </w:rPr>
        <w:t xml:space="preserve"> </w:t>
      </w:r>
      <w:r w:rsidR="00FA1C78" w:rsidRPr="00C032D3">
        <w:rPr>
          <w:color w:val="auto"/>
        </w:rPr>
        <w:t>2012</w:t>
      </w:r>
      <w:r w:rsidRPr="00577C42">
        <w:rPr>
          <w:color w:val="auto"/>
        </w:rPr>
        <w:t xml:space="preserve">; </w:t>
      </w:r>
      <w:bookmarkStart w:id="11" w:name="OLE_LINK15"/>
      <w:bookmarkStart w:id="12" w:name="OLE_LINK16"/>
      <w:proofErr w:type="spellStart"/>
      <w:r w:rsidRPr="00577C42">
        <w:rPr>
          <w:color w:val="auto"/>
        </w:rPr>
        <w:t>Schaffrin</w:t>
      </w:r>
      <w:bookmarkEnd w:id="11"/>
      <w:bookmarkEnd w:id="12"/>
      <w:proofErr w:type="spellEnd"/>
      <w:r w:rsidR="00730857" w:rsidRPr="00577C42">
        <w:rPr>
          <w:color w:val="auto"/>
        </w:rPr>
        <w:t xml:space="preserve">, </w:t>
      </w:r>
      <w:proofErr w:type="spellStart"/>
      <w:r w:rsidR="00730857" w:rsidRPr="00577C42">
        <w:rPr>
          <w:color w:val="auto"/>
        </w:rPr>
        <w:t>Sewerin</w:t>
      </w:r>
      <w:proofErr w:type="spellEnd"/>
      <w:r w:rsidR="00730857" w:rsidRPr="00577C42">
        <w:rPr>
          <w:color w:val="auto"/>
        </w:rPr>
        <w:t xml:space="preserve"> and </w:t>
      </w:r>
      <w:proofErr w:type="spellStart"/>
      <w:r w:rsidR="00730857" w:rsidRPr="00577C42">
        <w:rPr>
          <w:color w:val="auto"/>
        </w:rPr>
        <w:t>Seubert</w:t>
      </w:r>
      <w:proofErr w:type="spellEnd"/>
      <w:r w:rsidR="00730857" w:rsidRPr="00577C42">
        <w:rPr>
          <w:color w:val="auto"/>
        </w:rPr>
        <w:t xml:space="preserve"> </w:t>
      </w:r>
      <w:r w:rsidR="00FA1C78" w:rsidRPr="00C032D3">
        <w:rPr>
          <w:color w:val="auto"/>
        </w:rPr>
        <w:t>2015</w:t>
      </w:r>
      <w:r w:rsidRPr="00577C42">
        <w:rPr>
          <w:color w:val="auto"/>
        </w:rPr>
        <w:t>) have been increasingly applied to systematic, more quantitative analysis of policy (mix) dynamics (</w:t>
      </w:r>
      <w:bookmarkStart w:id="13" w:name="OLE_LINK17"/>
      <w:bookmarkStart w:id="14" w:name="OLE_LINK18"/>
      <w:r w:rsidRPr="00577C42">
        <w:rPr>
          <w:color w:val="auto"/>
        </w:rPr>
        <w:t>Voigt</w:t>
      </w:r>
      <w:bookmarkEnd w:id="13"/>
      <w:bookmarkEnd w:id="14"/>
      <w:r w:rsidRPr="00577C42">
        <w:rPr>
          <w:color w:val="auto"/>
        </w:rPr>
        <w:t xml:space="preserve"> </w:t>
      </w:r>
      <w:r w:rsidR="00FA1C78" w:rsidRPr="00C032D3">
        <w:rPr>
          <w:color w:val="auto"/>
        </w:rPr>
        <w:t>2013</w:t>
      </w:r>
      <w:r w:rsidRPr="00577C42">
        <w:rPr>
          <w:color w:val="auto"/>
        </w:rPr>
        <w:t>). Young (</w:t>
      </w:r>
      <w:r w:rsidR="00FA1C78" w:rsidRPr="00C032D3">
        <w:rPr>
          <w:color w:val="auto"/>
        </w:rPr>
        <w:t>2008</w:t>
      </w:r>
      <w:r w:rsidRPr="00577C42">
        <w:rPr>
          <w:color w:val="auto"/>
        </w:rPr>
        <w:t xml:space="preserve">) argues that ecosystem properties and problems, policies, </w:t>
      </w:r>
      <w:r w:rsidR="00FA1C78" w:rsidRPr="00C032D3">
        <w:rPr>
          <w:color w:val="auto"/>
        </w:rPr>
        <w:t>practice</w:t>
      </w:r>
      <w:r w:rsidRPr="00577C42">
        <w:rPr>
          <w:color w:val="auto"/>
        </w:rPr>
        <w:t xml:space="preserve">s and players need to be considered as elements for </w:t>
      </w:r>
      <w:r w:rsidR="008263AC">
        <w:rPr>
          <w:color w:val="auto"/>
        </w:rPr>
        <w:t>regime</w:t>
      </w:r>
      <w:r w:rsidR="00B426DA">
        <w:rPr>
          <w:color w:val="auto"/>
        </w:rPr>
        <w:t xml:space="preserve"> </w:t>
      </w:r>
      <w:r w:rsidRPr="00577C42">
        <w:rPr>
          <w:color w:val="auto"/>
        </w:rPr>
        <w:t xml:space="preserve">design under a diagnostic analytical approach that </w:t>
      </w:r>
      <w:r w:rsidR="00B426DA">
        <w:rPr>
          <w:color w:val="auto"/>
        </w:rPr>
        <w:t xml:space="preserve">tries </w:t>
      </w:r>
      <w:r w:rsidRPr="00577C42">
        <w:rPr>
          <w:color w:val="auto"/>
        </w:rPr>
        <w:t xml:space="preserve">to match institutional arrangements to those properties and structures. </w:t>
      </w:r>
      <w:bookmarkStart w:id="15" w:name="OLE_LINK21"/>
      <w:bookmarkStart w:id="16" w:name="OLE_LINK22"/>
      <w:r w:rsidRPr="00577C42">
        <w:rPr>
          <w:color w:val="auto"/>
        </w:rPr>
        <w:t>Ostrom</w:t>
      </w:r>
      <w:bookmarkEnd w:id="15"/>
      <w:bookmarkEnd w:id="16"/>
      <w:r w:rsidRPr="00577C42">
        <w:rPr>
          <w:color w:val="auto"/>
        </w:rPr>
        <w:t xml:space="preserve"> (</w:t>
      </w:r>
      <w:r w:rsidR="00FA1C78" w:rsidRPr="00C032D3">
        <w:rPr>
          <w:color w:val="auto"/>
        </w:rPr>
        <w:t>2007</w:t>
      </w:r>
      <w:r w:rsidRPr="00577C42">
        <w:rPr>
          <w:color w:val="auto"/>
        </w:rPr>
        <w:t xml:space="preserve">) takes a similar approach and </w:t>
      </w:r>
      <w:r w:rsidR="00B426DA">
        <w:rPr>
          <w:color w:val="auto"/>
        </w:rPr>
        <w:t xml:space="preserve">builds </w:t>
      </w:r>
      <w:r w:rsidRPr="00577C42">
        <w:rPr>
          <w:color w:val="auto"/>
        </w:rPr>
        <w:t>a framework that contains many types of resource properties across multiple scales, including local.</w:t>
      </w:r>
    </w:p>
    <w:p w14:paraId="0FBD546C" w14:textId="41A656BA" w:rsidR="00FA1C78" w:rsidRPr="00577C42" w:rsidRDefault="008816C2" w:rsidP="00086545">
      <w:pPr>
        <w:rPr>
          <w:color w:val="auto"/>
        </w:rPr>
      </w:pPr>
      <w:r w:rsidRPr="00577C42">
        <w:rPr>
          <w:color w:val="auto"/>
        </w:rPr>
        <w:t>Regarding policymakers</w:t>
      </w:r>
      <w:r w:rsidR="00FA1C78" w:rsidRPr="00577C42">
        <w:rPr>
          <w:color w:val="auto"/>
        </w:rPr>
        <w:t>’</w:t>
      </w:r>
      <w:r w:rsidRPr="00577C42">
        <w:rPr>
          <w:color w:val="auto"/>
        </w:rPr>
        <w:t xml:space="preserve"> decision-making, there is an emerging consensus that policy design is at least as important as policy instrument choice for both individual policy effectiveness and for the effectiveness of the overall policy mix (</w:t>
      </w:r>
      <w:bookmarkStart w:id="17" w:name="OLE_LINK25"/>
      <w:bookmarkStart w:id="18" w:name="OLE_LINK26"/>
      <w:r w:rsidR="00730857" w:rsidRPr="00577C42">
        <w:rPr>
          <w:color w:val="auto"/>
        </w:rPr>
        <w:t xml:space="preserve">Mitchell </w:t>
      </w:r>
      <w:r w:rsidR="00FA1C78" w:rsidRPr="00C032D3">
        <w:rPr>
          <w:color w:val="auto"/>
        </w:rPr>
        <w:t>2002</w:t>
      </w:r>
      <w:r w:rsidR="00730857" w:rsidRPr="00577C42">
        <w:rPr>
          <w:color w:val="auto"/>
        </w:rPr>
        <w:t xml:space="preserve">; Yin and Powers </w:t>
      </w:r>
      <w:r w:rsidR="00FA1C78" w:rsidRPr="00C032D3">
        <w:rPr>
          <w:color w:val="auto"/>
        </w:rPr>
        <w:t>2010</w:t>
      </w:r>
      <w:r w:rsidR="00730857" w:rsidRPr="00577C42">
        <w:rPr>
          <w:color w:val="auto"/>
        </w:rPr>
        <w:t xml:space="preserve">; Flanagan </w:t>
      </w:r>
      <w:r w:rsidR="00730857" w:rsidRPr="00577C42">
        <w:rPr>
          <w:i/>
          <w:color w:val="auto"/>
        </w:rPr>
        <w:t>et al.</w:t>
      </w:r>
      <w:r w:rsidR="00730857" w:rsidRPr="00577C42">
        <w:rPr>
          <w:color w:val="auto"/>
        </w:rPr>
        <w:t xml:space="preserve"> </w:t>
      </w:r>
      <w:r w:rsidR="00FA1C78" w:rsidRPr="00C032D3">
        <w:rPr>
          <w:color w:val="auto"/>
        </w:rPr>
        <w:t>2011</w:t>
      </w:r>
      <w:r w:rsidR="00730857" w:rsidRPr="00577C42">
        <w:rPr>
          <w:color w:val="auto"/>
        </w:rPr>
        <w:t xml:space="preserve">; </w:t>
      </w:r>
      <w:r w:rsidRPr="00577C42">
        <w:rPr>
          <w:color w:val="auto"/>
        </w:rPr>
        <w:t>Kemp</w:t>
      </w:r>
      <w:bookmarkEnd w:id="17"/>
      <w:bookmarkEnd w:id="18"/>
      <w:r w:rsidRPr="00577C42">
        <w:rPr>
          <w:color w:val="auto"/>
        </w:rPr>
        <w:t xml:space="preserve"> and </w:t>
      </w:r>
      <w:bookmarkStart w:id="19" w:name="OLE_LINK23"/>
      <w:bookmarkStart w:id="20" w:name="OLE_LINK24"/>
      <w:proofErr w:type="spellStart"/>
      <w:r w:rsidRPr="00577C42">
        <w:rPr>
          <w:color w:val="auto"/>
        </w:rPr>
        <w:t>Pont</w:t>
      </w:r>
      <w:r w:rsidR="00715AD6" w:rsidRPr="00C032D3">
        <w:rPr>
          <w:color w:val="auto"/>
        </w:rPr>
        <w:t>og</w:t>
      </w:r>
      <w:r w:rsidRPr="00577C42">
        <w:rPr>
          <w:color w:val="auto"/>
        </w:rPr>
        <w:t>lio</w:t>
      </w:r>
      <w:bookmarkEnd w:id="19"/>
      <w:bookmarkEnd w:id="20"/>
      <w:proofErr w:type="spellEnd"/>
      <w:r w:rsidRPr="00577C42">
        <w:rPr>
          <w:color w:val="auto"/>
        </w:rPr>
        <w:t xml:space="preserve"> </w:t>
      </w:r>
      <w:r w:rsidR="00FA1C78" w:rsidRPr="00C032D3">
        <w:rPr>
          <w:color w:val="auto"/>
        </w:rPr>
        <w:t>2011</w:t>
      </w:r>
      <w:r w:rsidR="00730857" w:rsidRPr="00577C42">
        <w:rPr>
          <w:color w:val="auto"/>
        </w:rPr>
        <w:t>).</w:t>
      </w:r>
      <w:r w:rsidRPr="00577C42">
        <w:rPr>
          <w:color w:val="auto"/>
        </w:rPr>
        <w:t xml:space="preserve"> For example, technol</w:t>
      </w:r>
      <w:r w:rsidR="00FA1C78" w:rsidRPr="00577C42">
        <w:rPr>
          <w:color w:val="auto"/>
        </w:rPr>
        <w:t>ogy</w:t>
      </w:r>
      <w:r w:rsidRPr="00577C42">
        <w:rPr>
          <w:color w:val="auto"/>
        </w:rPr>
        <w:t>-specificity</w:t>
      </w:r>
      <w:r w:rsidR="008C2781" w:rsidRPr="00577C42">
        <w:rPr>
          <w:color w:val="auto"/>
        </w:rPr>
        <w:t>—</w:t>
      </w:r>
      <w:r w:rsidRPr="00577C42">
        <w:rPr>
          <w:color w:val="auto"/>
        </w:rPr>
        <w:t>i.e. where a policy explicitly differentiates between different available technol</w:t>
      </w:r>
      <w:r w:rsidR="00FA1C78" w:rsidRPr="00577C42">
        <w:rPr>
          <w:color w:val="auto"/>
        </w:rPr>
        <w:t>ogies</w:t>
      </w:r>
      <w:r w:rsidRPr="00577C42">
        <w:rPr>
          <w:color w:val="auto"/>
        </w:rPr>
        <w:t xml:space="preserve"> that </w:t>
      </w:r>
      <w:r w:rsidR="00B426DA">
        <w:rPr>
          <w:color w:val="auto"/>
        </w:rPr>
        <w:t>address</w:t>
      </w:r>
      <w:r w:rsidRPr="00577C42">
        <w:rPr>
          <w:color w:val="auto"/>
        </w:rPr>
        <w:t xml:space="preserve"> a given policy problem</w:t>
      </w:r>
      <w:r w:rsidR="008C2781" w:rsidRPr="00577C42">
        <w:rPr>
          <w:color w:val="auto"/>
        </w:rPr>
        <w:t>—</w:t>
      </w:r>
      <w:r w:rsidRPr="00577C42">
        <w:rPr>
          <w:color w:val="auto"/>
        </w:rPr>
        <w:t xml:space="preserve">is increasingly applied in </w:t>
      </w:r>
      <w:r w:rsidR="00B426DA">
        <w:rPr>
          <w:color w:val="auto"/>
        </w:rPr>
        <w:t xml:space="preserve">the </w:t>
      </w:r>
      <w:r w:rsidRPr="00577C42">
        <w:rPr>
          <w:color w:val="auto"/>
        </w:rPr>
        <w:t>analys</w:t>
      </w:r>
      <w:r w:rsidR="00B426DA">
        <w:rPr>
          <w:color w:val="auto"/>
        </w:rPr>
        <w:t>i</w:t>
      </w:r>
      <w:r w:rsidRPr="00577C42">
        <w:rPr>
          <w:color w:val="auto"/>
        </w:rPr>
        <w:t>s of low-carbon technol</w:t>
      </w:r>
      <w:r w:rsidR="00FA1C78" w:rsidRPr="00577C42">
        <w:rPr>
          <w:color w:val="auto"/>
        </w:rPr>
        <w:t>ogy</w:t>
      </w:r>
      <w:r w:rsidRPr="00577C42">
        <w:rPr>
          <w:color w:val="auto"/>
        </w:rPr>
        <w:t xml:space="preserve"> deployment policies </w:t>
      </w:r>
      <w:r w:rsidR="00FA1C78" w:rsidRPr="00577C42">
        <w:rPr>
          <w:color w:val="auto"/>
        </w:rPr>
        <w:t>(</w:t>
      </w:r>
      <w:r w:rsidR="00FA1C78" w:rsidRPr="00C032D3">
        <w:rPr>
          <w:color w:val="auto"/>
        </w:rPr>
        <w:t>e.g.</w:t>
      </w:r>
      <w:r w:rsidRPr="00577C42">
        <w:rPr>
          <w:color w:val="auto"/>
        </w:rPr>
        <w:t xml:space="preserve"> </w:t>
      </w:r>
      <w:bookmarkStart w:id="21" w:name="OLE_LINK33"/>
      <w:bookmarkStart w:id="22" w:name="OLE_LINK34"/>
      <w:r w:rsidRPr="00577C42">
        <w:rPr>
          <w:color w:val="auto"/>
        </w:rPr>
        <w:t xml:space="preserve">Schmidt </w:t>
      </w:r>
      <w:bookmarkEnd w:id="21"/>
      <w:bookmarkEnd w:id="22"/>
      <w:r w:rsidRPr="00577C42">
        <w:rPr>
          <w:i/>
          <w:color w:val="auto"/>
        </w:rPr>
        <w:t>et al.</w:t>
      </w:r>
      <w:r w:rsidRPr="00577C42">
        <w:rPr>
          <w:color w:val="auto"/>
        </w:rPr>
        <w:t xml:space="preserve"> </w:t>
      </w:r>
      <w:r w:rsidR="00FA1C78" w:rsidRPr="00C032D3">
        <w:rPr>
          <w:color w:val="auto"/>
        </w:rPr>
        <w:t>2016</w:t>
      </w:r>
      <w:r w:rsidRPr="00577C42">
        <w:rPr>
          <w:color w:val="auto"/>
        </w:rPr>
        <w:t xml:space="preserve">). Yet, integrating the various perspectives on policy design </w:t>
      </w:r>
      <w:r w:rsidR="00FA1C78" w:rsidRPr="00577C42">
        <w:rPr>
          <w:color w:val="auto"/>
        </w:rPr>
        <w:t>(</w:t>
      </w:r>
      <w:r w:rsidR="00FA1C78" w:rsidRPr="00C032D3">
        <w:rPr>
          <w:color w:val="auto"/>
        </w:rPr>
        <w:t>e.g.</w:t>
      </w:r>
      <w:r w:rsidRPr="00577C42">
        <w:rPr>
          <w:color w:val="auto"/>
        </w:rPr>
        <w:t xml:space="preserve"> from implementation research or governance studies) remains challenging. Still, literature on policy dynamics and policy mixes, on policy design and policy effectiveness, and on long-term intervention </w:t>
      </w:r>
      <w:r w:rsidR="00FA1C78" w:rsidRPr="00577C42">
        <w:rPr>
          <w:color w:val="auto"/>
        </w:rPr>
        <w:t>logic</w:t>
      </w:r>
      <w:r w:rsidRPr="00577C42">
        <w:rPr>
          <w:color w:val="auto"/>
        </w:rPr>
        <w:t>s is increasingly available</w:t>
      </w:r>
      <w:r w:rsidR="009A01DD" w:rsidRPr="00577C42">
        <w:rPr>
          <w:color w:val="auto"/>
        </w:rPr>
        <w:t xml:space="preserve"> (</w:t>
      </w:r>
      <w:r w:rsidRPr="00577C42">
        <w:rPr>
          <w:color w:val="auto"/>
        </w:rPr>
        <w:t xml:space="preserve">Young </w:t>
      </w:r>
      <w:r w:rsidR="00FA1C78" w:rsidRPr="00C032D3">
        <w:rPr>
          <w:color w:val="auto"/>
        </w:rPr>
        <w:t>1999</w:t>
      </w:r>
      <w:r w:rsidR="00F474FA" w:rsidRPr="00577C42">
        <w:rPr>
          <w:color w:val="auto"/>
        </w:rPr>
        <w:t>;</w:t>
      </w:r>
      <w:r w:rsidR="0021668F" w:rsidRPr="00577C42">
        <w:rPr>
          <w:color w:val="auto"/>
        </w:rPr>
        <w:t xml:space="preserve"> </w:t>
      </w:r>
      <w:bookmarkStart w:id="23" w:name="OLE_LINK35"/>
      <w:bookmarkStart w:id="24" w:name="OLE_LINK36"/>
      <w:r w:rsidRPr="00577C42">
        <w:rPr>
          <w:color w:val="auto"/>
        </w:rPr>
        <w:t>Miles</w:t>
      </w:r>
      <w:bookmarkEnd w:id="23"/>
      <w:bookmarkEnd w:id="24"/>
      <w:r w:rsidRPr="00577C42">
        <w:rPr>
          <w:color w:val="auto"/>
        </w:rPr>
        <w:t xml:space="preserve"> </w:t>
      </w:r>
      <w:r w:rsidRPr="00577C42">
        <w:rPr>
          <w:i/>
          <w:color w:val="auto"/>
        </w:rPr>
        <w:t>et al.</w:t>
      </w:r>
      <w:r w:rsidRPr="00577C42">
        <w:rPr>
          <w:color w:val="auto"/>
        </w:rPr>
        <w:t xml:space="preserve"> </w:t>
      </w:r>
      <w:r w:rsidR="00FA1C78" w:rsidRPr="00C032D3">
        <w:rPr>
          <w:color w:val="auto"/>
        </w:rPr>
        <w:t>2002</w:t>
      </w:r>
      <w:r w:rsidR="00F474FA" w:rsidRPr="00577C42">
        <w:rPr>
          <w:color w:val="auto"/>
        </w:rPr>
        <w:t>;</w:t>
      </w:r>
      <w:r w:rsidR="0021668F" w:rsidRPr="00577C42">
        <w:rPr>
          <w:color w:val="auto"/>
        </w:rPr>
        <w:t xml:space="preserve"> Howlett and Rayner </w:t>
      </w:r>
      <w:r w:rsidR="00FA1C78" w:rsidRPr="00C032D3">
        <w:rPr>
          <w:color w:val="auto"/>
        </w:rPr>
        <w:t>2013</w:t>
      </w:r>
      <w:r w:rsidR="00F474FA" w:rsidRPr="00577C42">
        <w:rPr>
          <w:color w:val="auto"/>
        </w:rPr>
        <w:t>;</w:t>
      </w:r>
      <w:r w:rsidR="0021668F" w:rsidRPr="00577C42">
        <w:rPr>
          <w:color w:val="auto"/>
        </w:rPr>
        <w:t xml:space="preserve"> </w:t>
      </w:r>
      <w:proofErr w:type="spellStart"/>
      <w:r w:rsidR="0021668F" w:rsidRPr="00577C42">
        <w:rPr>
          <w:color w:val="auto"/>
        </w:rPr>
        <w:t>Mees</w:t>
      </w:r>
      <w:proofErr w:type="spellEnd"/>
      <w:r w:rsidR="0021668F" w:rsidRPr="00577C42">
        <w:rPr>
          <w:color w:val="auto"/>
        </w:rPr>
        <w:t xml:space="preserve"> </w:t>
      </w:r>
      <w:r w:rsidR="0021668F" w:rsidRPr="00577C42">
        <w:rPr>
          <w:i/>
          <w:color w:val="auto"/>
        </w:rPr>
        <w:t>et al.</w:t>
      </w:r>
      <w:r w:rsidR="0021668F" w:rsidRPr="00577C42">
        <w:rPr>
          <w:color w:val="auto"/>
        </w:rPr>
        <w:t xml:space="preserve"> </w:t>
      </w:r>
      <w:r w:rsidR="00FA1C78" w:rsidRPr="00C032D3">
        <w:rPr>
          <w:color w:val="auto"/>
        </w:rPr>
        <w:t>2014</w:t>
      </w:r>
      <w:r w:rsidR="0021668F" w:rsidRPr="00577C42">
        <w:rPr>
          <w:color w:val="auto"/>
        </w:rPr>
        <w:t>).</w:t>
      </w:r>
    </w:p>
    <w:p w14:paraId="14F49ACB" w14:textId="4BB02C34" w:rsidR="00FA1C78" w:rsidRPr="00C032D3" w:rsidRDefault="008816C2" w:rsidP="00086545">
      <w:pPr>
        <w:rPr>
          <w:color w:val="auto"/>
        </w:rPr>
      </w:pPr>
      <w:r w:rsidRPr="00577C42">
        <w:rPr>
          <w:color w:val="auto"/>
        </w:rPr>
        <w:t xml:space="preserve">When trying to tackle the various pressing environmental problems outlined in Part A, a policy design perspective </w:t>
      </w:r>
      <w:r w:rsidR="00FA1C78" w:rsidRPr="00C032D3">
        <w:rPr>
          <w:color w:val="auto"/>
        </w:rPr>
        <w:t>would be</w:t>
      </w:r>
      <w:r w:rsidRPr="00577C42">
        <w:rPr>
          <w:color w:val="auto"/>
        </w:rPr>
        <w:t xml:space="preserve"> very helpful. Analysts and policymakers alike need to better understand the temporal dynamics of policy change, how and why specific policies </w:t>
      </w:r>
      <w:r w:rsidR="000B2615">
        <w:rPr>
          <w:color w:val="auto"/>
        </w:rPr>
        <w:t>work</w:t>
      </w:r>
      <w:r w:rsidR="000B2615" w:rsidRPr="00577C42">
        <w:rPr>
          <w:color w:val="auto"/>
        </w:rPr>
        <w:t xml:space="preserve"> </w:t>
      </w:r>
      <w:r w:rsidRPr="00577C42">
        <w:rPr>
          <w:color w:val="auto"/>
        </w:rPr>
        <w:t>(or not)</w:t>
      </w:r>
      <w:r w:rsidR="00F474FA" w:rsidRPr="00577C42">
        <w:rPr>
          <w:color w:val="auto"/>
        </w:rPr>
        <w:t>,</w:t>
      </w:r>
      <w:r w:rsidRPr="00577C42">
        <w:rPr>
          <w:color w:val="auto"/>
        </w:rPr>
        <w:t xml:space="preserve"> and how policy choices interact in an increasingly </w:t>
      </w:r>
      <w:r w:rsidRPr="00577C42">
        <w:rPr>
          <w:color w:val="auto"/>
        </w:rPr>
        <w:lastRenderedPageBreak/>
        <w:t>complex</w:t>
      </w:r>
      <w:r w:rsidR="000B2615">
        <w:rPr>
          <w:color w:val="auto"/>
        </w:rPr>
        <w:t xml:space="preserve"> mix of</w:t>
      </w:r>
      <w:r w:rsidRPr="00577C42">
        <w:rPr>
          <w:color w:val="auto"/>
        </w:rPr>
        <w:t xml:space="preserve"> polic</w:t>
      </w:r>
      <w:r w:rsidR="000B2615">
        <w:rPr>
          <w:color w:val="auto"/>
        </w:rPr>
        <w:t>ies</w:t>
      </w:r>
      <w:r w:rsidRPr="00577C42">
        <w:rPr>
          <w:color w:val="auto"/>
        </w:rPr>
        <w:t xml:space="preserve">. Ideally, this would </w:t>
      </w:r>
      <w:r w:rsidR="000B2615">
        <w:rPr>
          <w:color w:val="auto"/>
        </w:rPr>
        <w:t xml:space="preserve">help </w:t>
      </w:r>
      <w:r w:rsidRPr="00577C42">
        <w:rPr>
          <w:color w:val="auto"/>
        </w:rPr>
        <w:t>to improve the design of policies that create positive feedback loops</w:t>
      </w:r>
      <w:r w:rsidR="00AE1815" w:rsidRPr="00577C42">
        <w:rPr>
          <w:color w:val="auto"/>
        </w:rPr>
        <w:t xml:space="preserve"> (including </w:t>
      </w:r>
      <w:r w:rsidR="00AE1815" w:rsidRPr="00577C42">
        <w:rPr>
          <w:i/>
          <w:color w:val="auto"/>
        </w:rPr>
        <w:t>ex post</w:t>
      </w:r>
      <w:r w:rsidR="00AE1815" w:rsidRPr="00577C42">
        <w:rPr>
          <w:color w:val="auto"/>
        </w:rPr>
        <w:t xml:space="preserve"> impact assessment)</w:t>
      </w:r>
      <w:r w:rsidRPr="00577C42">
        <w:rPr>
          <w:color w:val="auto"/>
        </w:rPr>
        <w:t xml:space="preserve">, eventually changing the underlying instrumental </w:t>
      </w:r>
      <w:r w:rsidR="00FA1C78" w:rsidRPr="00577C42">
        <w:rPr>
          <w:color w:val="auto"/>
        </w:rPr>
        <w:t>logic</w:t>
      </w:r>
      <w:r w:rsidRPr="00577C42">
        <w:rPr>
          <w:color w:val="auto"/>
        </w:rPr>
        <w:t xml:space="preserve"> of a policy mix</w:t>
      </w:r>
      <w:r w:rsidR="00AE1815" w:rsidRPr="00577C42">
        <w:rPr>
          <w:color w:val="auto"/>
        </w:rPr>
        <w:t xml:space="preserve"> (</w:t>
      </w:r>
      <w:r w:rsidR="000B2615">
        <w:rPr>
          <w:color w:val="auto"/>
        </w:rPr>
        <w:fldChar w:fldCharType="begin"/>
      </w:r>
      <w:r w:rsidR="000B2615">
        <w:rPr>
          <w:color w:val="auto"/>
        </w:rPr>
        <w:instrText xml:space="preserve"> REF _Ref525083281 \h </w:instrText>
      </w:r>
      <w:r w:rsidR="000B2615">
        <w:rPr>
          <w:color w:val="auto"/>
        </w:rPr>
      </w:r>
      <w:r w:rsidR="000B2615">
        <w:rPr>
          <w:color w:val="auto"/>
        </w:rPr>
        <w:fldChar w:fldCharType="separate"/>
      </w:r>
      <w:r w:rsidR="000B2615" w:rsidRPr="00B04299">
        <w:t>Figure 11.2</w:t>
      </w:r>
      <w:r w:rsidR="000B2615">
        <w:rPr>
          <w:color w:val="auto"/>
        </w:rPr>
        <w:fldChar w:fldCharType="end"/>
      </w:r>
      <w:r w:rsidR="00AE1815" w:rsidRPr="00577C42">
        <w:rPr>
          <w:color w:val="auto"/>
        </w:rPr>
        <w:t>).</w:t>
      </w:r>
    </w:p>
    <w:p w14:paraId="6135840C" w14:textId="24B37DFA" w:rsidR="00FA1C78" w:rsidRPr="00577C42" w:rsidRDefault="00D61BE0" w:rsidP="00AE1815">
      <w:pPr>
        <w:jc w:val="center"/>
        <w:rPr>
          <w:color w:val="auto"/>
        </w:rPr>
      </w:pPr>
      <w:r w:rsidRPr="00577C42">
        <w:rPr>
          <w:noProof/>
          <w:color w:val="auto"/>
          <w:lang w:val="en-US" w:eastAsia="en-US"/>
        </w:rPr>
        <w:drawing>
          <wp:inline distT="0" distB="0" distL="0" distR="0" wp14:anchorId="7DD2AEAA" wp14:editId="7D974BB5">
            <wp:extent cx="4264660" cy="305752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4660" cy="3057525"/>
                    </a:xfrm>
                    <a:prstGeom prst="rect">
                      <a:avLst/>
                    </a:prstGeom>
                    <a:noFill/>
                    <a:ln>
                      <a:noFill/>
                    </a:ln>
                  </pic:spPr>
                </pic:pic>
              </a:graphicData>
            </a:graphic>
          </wp:inline>
        </w:drawing>
      </w:r>
    </w:p>
    <w:p w14:paraId="05B5F536" w14:textId="713EC5ED" w:rsidR="00FA1C78" w:rsidRPr="00B04299" w:rsidRDefault="006C01EF" w:rsidP="00B04299">
      <w:pPr>
        <w:pStyle w:val="Caption"/>
      </w:pPr>
      <w:bookmarkStart w:id="25" w:name="_Ref525083281"/>
      <w:r w:rsidRPr="00B04299">
        <w:t xml:space="preserve">Figure </w:t>
      </w:r>
      <w:fldSimple w:instr=" STYLEREF 1 \s ">
        <w:r w:rsidRPr="00B04299">
          <w:t>11</w:t>
        </w:r>
      </w:fldSimple>
      <w:r w:rsidRPr="00B04299">
        <w:t>.</w:t>
      </w:r>
      <w:fldSimple w:instr=" SEQ Figure \* ARABIC \s 1 ">
        <w:r w:rsidRPr="00B04299">
          <w:t>2</w:t>
        </w:r>
      </w:fldSimple>
      <w:bookmarkEnd w:id="25"/>
      <w:r w:rsidRPr="00B04299">
        <w:t xml:space="preserve">: </w:t>
      </w:r>
      <w:bookmarkStart w:id="26" w:name="_Ref528494540"/>
      <w:r w:rsidRPr="00B04299">
        <w:t xml:space="preserve">The </w:t>
      </w:r>
      <w:r w:rsidR="00F474FA" w:rsidRPr="00B04299">
        <w:t>p</w:t>
      </w:r>
      <w:r w:rsidRPr="00B04299">
        <w:t xml:space="preserve">olicy </w:t>
      </w:r>
      <w:r w:rsidR="00F474FA" w:rsidRPr="00B04299">
        <w:t>c</w:t>
      </w:r>
      <w:r w:rsidRPr="00B04299">
        <w:t>ycle</w:t>
      </w:r>
      <w:bookmarkEnd w:id="26"/>
    </w:p>
    <w:p w14:paraId="512BABDD" w14:textId="0B820129" w:rsidR="00FA1C78" w:rsidRPr="00B04299" w:rsidRDefault="00FA1C78" w:rsidP="00B04299">
      <w:pPr>
        <w:pStyle w:val="Caption"/>
      </w:pPr>
      <w:r w:rsidRPr="00B04299">
        <w:rPr>
          <w:i/>
        </w:rPr>
        <w:t>Source:</w:t>
      </w:r>
      <w:r w:rsidR="00AE1815" w:rsidRPr="00B04299">
        <w:t xml:space="preserve"> European Environment Agency</w:t>
      </w:r>
      <w:r w:rsidR="000A2606">
        <w:t xml:space="preserve"> [EEA]</w:t>
      </w:r>
      <w:r w:rsidR="00AE1815" w:rsidRPr="00B04299">
        <w:t xml:space="preserve"> (</w:t>
      </w:r>
      <w:r w:rsidRPr="00B04299">
        <w:t>2006</w:t>
      </w:r>
      <w:r w:rsidR="00AE1815" w:rsidRPr="00B04299">
        <w:t>)</w:t>
      </w:r>
    </w:p>
    <w:p w14:paraId="030988D6" w14:textId="6D91E4FA" w:rsidR="00FA1C78" w:rsidRPr="00577C42" w:rsidRDefault="008816C2" w:rsidP="00B04299">
      <w:pPr>
        <w:pStyle w:val="Heading3"/>
      </w:pPr>
      <w:bookmarkStart w:id="27" w:name="_floz1o3j1ttt" w:colFirst="0" w:colLast="0"/>
      <w:bookmarkStart w:id="28" w:name="_Toc511747971"/>
      <w:bookmarkEnd w:id="27"/>
      <w:r w:rsidRPr="00577C42">
        <w:t xml:space="preserve">Spatial dynamics: policy diffusion across </w:t>
      </w:r>
      <w:r w:rsidR="00FA1C78" w:rsidRPr="00577C42">
        <w:t>border</w:t>
      </w:r>
      <w:r w:rsidRPr="00577C42">
        <w:t>s</w:t>
      </w:r>
      <w:bookmarkEnd w:id="28"/>
    </w:p>
    <w:p w14:paraId="0BF478DA" w14:textId="7C0455B7" w:rsidR="00FA1C78" w:rsidRPr="00577C42" w:rsidRDefault="008816C2" w:rsidP="00086545">
      <w:pPr>
        <w:rPr>
          <w:color w:val="auto"/>
        </w:rPr>
      </w:pPr>
      <w:r w:rsidRPr="00577C42">
        <w:rPr>
          <w:color w:val="auto"/>
        </w:rPr>
        <w:t xml:space="preserve">Policy diffusion research aims </w:t>
      </w:r>
      <w:r w:rsidR="007F7279">
        <w:rPr>
          <w:color w:val="auto"/>
        </w:rPr>
        <w:t xml:space="preserve">to </w:t>
      </w:r>
      <w:r w:rsidRPr="00577C42">
        <w:rPr>
          <w:color w:val="auto"/>
        </w:rPr>
        <w:t xml:space="preserve">understand how and why policies spread across </w:t>
      </w:r>
      <w:r w:rsidR="00FA1C78" w:rsidRPr="00577C42">
        <w:rPr>
          <w:color w:val="auto"/>
        </w:rPr>
        <w:t>border</w:t>
      </w:r>
      <w:r w:rsidRPr="00577C42">
        <w:rPr>
          <w:color w:val="auto"/>
        </w:rPr>
        <w:t xml:space="preserve">s and are adopted </w:t>
      </w:r>
      <w:r w:rsidR="00B07E82" w:rsidRPr="00577C42">
        <w:rPr>
          <w:color w:val="auto"/>
        </w:rPr>
        <w:t xml:space="preserve">and designed </w:t>
      </w:r>
      <w:r w:rsidRPr="00577C42">
        <w:rPr>
          <w:color w:val="auto"/>
        </w:rPr>
        <w:t xml:space="preserve">by different jurisdictions. The </w:t>
      </w:r>
      <w:r w:rsidR="00FA1C78" w:rsidRPr="00577C42">
        <w:rPr>
          <w:color w:val="auto"/>
        </w:rPr>
        <w:t>academic</w:t>
      </w:r>
      <w:r w:rsidRPr="00577C42">
        <w:rPr>
          <w:color w:val="auto"/>
        </w:rPr>
        <w:t xml:space="preserve"> literature, primarily from the field of political science, tends to focus on drivers of the spatial diffusion of policies (</w:t>
      </w:r>
      <w:bookmarkStart w:id="29" w:name="OLE_LINK37"/>
      <w:bookmarkStart w:id="30" w:name="OLE_LINK38"/>
      <w:proofErr w:type="spellStart"/>
      <w:r w:rsidR="00730857" w:rsidRPr="00577C42">
        <w:rPr>
          <w:color w:val="auto"/>
        </w:rPr>
        <w:t>Tews</w:t>
      </w:r>
      <w:proofErr w:type="spellEnd"/>
      <w:r w:rsidR="00730857" w:rsidRPr="00577C42">
        <w:rPr>
          <w:color w:val="auto"/>
        </w:rPr>
        <w:t xml:space="preserve">, Busch and </w:t>
      </w:r>
      <w:proofErr w:type="spellStart"/>
      <w:r w:rsidR="00730857" w:rsidRPr="00577C42">
        <w:rPr>
          <w:color w:val="auto"/>
        </w:rPr>
        <w:t>Jorgens</w:t>
      </w:r>
      <w:proofErr w:type="spellEnd"/>
      <w:r w:rsidR="00730857" w:rsidRPr="00577C42">
        <w:rPr>
          <w:color w:val="auto"/>
        </w:rPr>
        <w:t xml:space="preserve"> </w:t>
      </w:r>
      <w:r w:rsidR="00FA1C78" w:rsidRPr="00C032D3">
        <w:rPr>
          <w:color w:val="auto"/>
        </w:rPr>
        <w:t>2003</w:t>
      </w:r>
      <w:r w:rsidR="00730857" w:rsidRPr="00577C42">
        <w:rPr>
          <w:color w:val="auto"/>
        </w:rPr>
        <w:t xml:space="preserve">; </w:t>
      </w:r>
      <w:proofErr w:type="spellStart"/>
      <w:r w:rsidR="00730857" w:rsidRPr="00577C42">
        <w:rPr>
          <w:color w:val="auto"/>
        </w:rPr>
        <w:t>Holzinger</w:t>
      </w:r>
      <w:proofErr w:type="spellEnd"/>
      <w:r w:rsidR="00730857" w:rsidRPr="00577C42">
        <w:rPr>
          <w:color w:val="auto"/>
        </w:rPr>
        <w:t xml:space="preserve">, </w:t>
      </w:r>
      <w:proofErr w:type="spellStart"/>
      <w:r w:rsidR="00730857" w:rsidRPr="00577C42">
        <w:rPr>
          <w:color w:val="auto"/>
        </w:rPr>
        <w:t>Knill</w:t>
      </w:r>
      <w:proofErr w:type="spellEnd"/>
      <w:r w:rsidR="00730857" w:rsidRPr="00577C42">
        <w:rPr>
          <w:color w:val="auto"/>
        </w:rPr>
        <w:t xml:space="preserve"> and Sommerer </w:t>
      </w:r>
      <w:r w:rsidR="00FA1C78" w:rsidRPr="00C032D3">
        <w:rPr>
          <w:color w:val="auto"/>
        </w:rPr>
        <w:t>2011</w:t>
      </w:r>
      <w:r w:rsidR="00730857" w:rsidRPr="00577C42">
        <w:rPr>
          <w:color w:val="auto"/>
        </w:rPr>
        <w:t xml:space="preserve">; </w:t>
      </w:r>
      <w:r w:rsidRPr="00577C42">
        <w:rPr>
          <w:color w:val="auto"/>
        </w:rPr>
        <w:t>Graham</w:t>
      </w:r>
      <w:bookmarkEnd w:id="29"/>
      <w:bookmarkEnd w:id="30"/>
      <w:r w:rsidR="00730857" w:rsidRPr="00577C42">
        <w:rPr>
          <w:color w:val="auto"/>
        </w:rPr>
        <w:t xml:space="preserve">, </w:t>
      </w:r>
      <w:proofErr w:type="spellStart"/>
      <w:r w:rsidR="00730857" w:rsidRPr="00577C42">
        <w:rPr>
          <w:color w:val="auto"/>
        </w:rPr>
        <w:t>Shipan</w:t>
      </w:r>
      <w:proofErr w:type="spellEnd"/>
      <w:r w:rsidR="00730857" w:rsidRPr="00577C42">
        <w:rPr>
          <w:color w:val="auto"/>
        </w:rPr>
        <w:t xml:space="preserve"> and </w:t>
      </w:r>
      <w:proofErr w:type="spellStart"/>
      <w:r w:rsidR="00730857" w:rsidRPr="00577C42">
        <w:rPr>
          <w:color w:val="auto"/>
        </w:rPr>
        <w:t>Volden</w:t>
      </w:r>
      <w:proofErr w:type="spellEnd"/>
      <w:r w:rsidR="00730857" w:rsidRPr="00577C42">
        <w:rPr>
          <w:color w:val="auto"/>
        </w:rPr>
        <w:t xml:space="preserve"> </w:t>
      </w:r>
      <w:r w:rsidR="00FA1C78" w:rsidRPr="00C032D3">
        <w:rPr>
          <w:color w:val="auto"/>
        </w:rPr>
        <w:t>2013</w:t>
      </w:r>
      <w:r w:rsidRPr="00577C42">
        <w:rPr>
          <w:color w:val="auto"/>
        </w:rPr>
        <w:t xml:space="preserve">; </w:t>
      </w:r>
      <w:bookmarkStart w:id="31" w:name="OLE_LINK39"/>
      <w:bookmarkStart w:id="32" w:name="OLE_LINK40"/>
      <w:proofErr w:type="spellStart"/>
      <w:r w:rsidRPr="00577C42">
        <w:rPr>
          <w:color w:val="auto"/>
        </w:rPr>
        <w:t>Matisoff</w:t>
      </w:r>
      <w:proofErr w:type="spellEnd"/>
      <w:r w:rsidRPr="00577C42">
        <w:rPr>
          <w:color w:val="auto"/>
        </w:rPr>
        <w:t xml:space="preserve"> </w:t>
      </w:r>
      <w:bookmarkEnd w:id="31"/>
      <w:bookmarkEnd w:id="32"/>
      <w:r w:rsidRPr="00577C42">
        <w:rPr>
          <w:color w:val="auto"/>
        </w:rPr>
        <w:t xml:space="preserve">and Edwards </w:t>
      </w:r>
      <w:r w:rsidR="00FA1C78" w:rsidRPr="00C032D3">
        <w:rPr>
          <w:color w:val="auto"/>
        </w:rPr>
        <w:t>2014</w:t>
      </w:r>
      <w:r w:rsidR="00730857" w:rsidRPr="00577C42">
        <w:rPr>
          <w:color w:val="auto"/>
        </w:rPr>
        <w:t>)</w:t>
      </w:r>
      <w:r w:rsidR="00F474FA" w:rsidRPr="00577C42">
        <w:rPr>
          <w:color w:val="auto"/>
        </w:rPr>
        <w:t>,</w:t>
      </w:r>
      <w:r w:rsidRPr="00577C42">
        <w:rPr>
          <w:color w:val="auto"/>
        </w:rPr>
        <w:t xml:space="preserve"> and much less so on what policies have </w:t>
      </w:r>
      <w:proofErr w:type="gramStart"/>
      <w:r w:rsidRPr="00577C42">
        <w:rPr>
          <w:color w:val="auto"/>
        </w:rPr>
        <w:t>actually diffused</w:t>
      </w:r>
      <w:proofErr w:type="gramEnd"/>
      <w:r w:rsidRPr="00577C42">
        <w:rPr>
          <w:color w:val="auto"/>
        </w:rPr>
        <w:t xml:space="preserve"> and when (</w:t>
      </w:r>
      <w:bookmarkStart w:id="33" w:name="OLE_LINK45"/>
      <w:bookmarkStart w:id="34" w:name="OLE_LINK46"/>
      <w:r w:rsidRPr="00577C42">
        <w:rPr>
          <w:color w:val="auto"/>
        </w:rPr>
        <w:t>Jordan</w:t>
      </w:r>
      <w:bookmarkEnd w:id="33"/>
      <w:bookmarkEnd w:id="34"/>
      <w:r w:rsidRPr="00577C42">
        <w:rPr>
          <w:color w:val="auto"/>
        </w:rPr>
        <w:t xml:space="preserve"> and </w:t>
      </w:r>
      <w:proofErr w:type="spellStart"/>
      <w:r w:rsidRPr="00577C42">
        <w:rPr>
          <w:color w:val="auto"/>
        </w:rPr>
        <w:t>Huitema</w:t>
      </w:r>
      <w:proofErr w:type="spellEnd"/>
      <w:r w:rsidRPr="00577C42">
        <w:rPr>
          <w:color w:val="auto"/>
        </w:rPr>
        <w:t xml:space="preserve"> 2014</w:t>
      </w:r>
      <w:r w:rsidR="00AA1F78" w:rsidRPr="00577C42">
        <w:rPr>
          <w:color w:val="auto"/>
        </w:rPr>
        <w:t>a</w:t>
      </w:r>
      <w:r w:rsidR="001350A5" w:rsidRPr="00577C42">
        <w:rPr>
          <w:color w:val="auto"/>
        </w:rPr>
        <w:t>).</w:t>
      </w:r>
      <w:r w:rsidR="00FA1C78" w:rsidRPr="00C032D3">
        <w:rPr>
          <w:color w:val="auto"/>
        </w:rPr>
        <w:t xml:space="preserve"> </w:t>
      </w:r>
      <w:r w:rsidRPr="00577C42">
        <w:rPr>
          <w:color w:val="auto"/>
        </w:rPr>
        <w:t>In the environmental policy research</w:t>
      </w:r>
      <w:r w:rsidR="007F7279">
        <w:rPr>
          <w:color w:val="auto"/>
        </w:rPr>
        <w:t xml:space="preserve"> literature</w:t>
      </w:r>
      <w:r w:rsidRPr="00577C42">
        <w:rPr>
          <w:color w:val="auto"/>
        </w:rPr>
        <w:t xml:space="preserve">, </w:t>
      </w:r>
      <w:r w:rsidR="007F7279">
        <w:rPr>
          <w:color w:val="auto"/>
        </w:rPr>
        <w:t xml:space="preserve">policy </w:t>
      </w:r>
      <w:r w:rsidRPr="00577C42">
        <w:rPr>
          <w:color w:val="auto"/>
        </w:rPr>
        <w:t xml:space="preserve">diffusion featured prominently in the 2000s and early 2010s. The </w:t>
      </w:r>
      <w:proofErr w:type="gramStart"/>
      <w:r w:rsidRPr="00577C42">
        <w:rPr>
          <w:color w:val="auto"/>
        </w:rPr>
        <w:t>main focus</w:t>
      </w:r>
      <w:proofErr w:type="gramEnd"/>
      <w:r w:rsidRPr="00577C42">
        <w:rPr>
          <w:color w:val="auto"/>
        </w:rPr>
        <w:t xml:space="preserve"> of </w:t>
      </w:r>
      <w:r w:rsidR="007F7279">
        <w:rPr>
          <w:color w:val="auto"/>
        </w:rPr>
        <w:t xml:space="preserve">this </w:t>
      </w:r>
      <w:r w:rsidRPr="00577C42">
        <w:rPr>
          <w:color w:val="auto"/>
        </w:rPr>
        <w:t>research was on environmental regulations (</w:t>
      </w:r>
      <w:bookmarkStart w:id="35" w:name="OLE_LINK49"/>
      <w:bookmarkStart w:id="36" w:name="OLE_LINK50"/>
      <w:proofErr w:type="spellStart"/>
      <w:r w:rsidRPr="00577C42">
        <w:rPr>
          <w:color w:val="auto"/>
        </w:rPr>
        <w:t>Knill</w:t>
      </w:r>
      <w:proofErr w:type="spellEnd"/>
      <w:r w:rsidR="00730857" w:rsidRPr="00577C42">
        <w:rPr>
          <w:color w:val="auto"/>
        </w:rPr>
        <w:t xml:space="preserve">, Schulze and </w:t>
      </w:r>
      <w:proofErr w:type="spellStart"/>
      <w:r w:rsidR="00730857" w:rsidRPr="00577C42">
        <w:rPr>
          <w:color w:val="auto"/>
        </w:rPr>
        <w:t>Tosun</w:t>
      </w:r>
      <w:bookmarkEnd w:id="35"/>
      <w:bookmarkEnd w:id="36"/>
      <w:proofErr w:type="spellEnd"/>
      <w:r w:rsidRPr="00577C42">
        <w:rPr>
          <w:color w:val="auto"/>
        </w:rPr>
        <w:t xml:space="preserve"> </w:t>
      </w:r>
      <w:r w:rsidR="00FA1C78" w:rsidRPr="00C032D3">
        <w:rPr>
          <w:color w:val="auto"/>
        </w:rPr>
        <w:t>2012</w:t>
      </w:r>
      <w:r w:rsidRPr="00577C42">
        <w:rPr>
          <w:color w:val="auto"/>
        </w:rPr>
        <w:t>) and renewable energy policy (</w:t>
      </w:r>
      <w:bookmarkStart w:id="37" w:name="OLE_LINK51"/>
      <w:bookmarkStart w:id="38" w:name="OLE_LINK52"/>
      <w:r w:rsidRPr="00577C42">
        <w:rPr>
          <w:color w:val="auto"/>
        </w:rPr>
        <w:t>Alizada</w:t>
      </w:r>
      <w:bookmarkEnd w:id="37"/>
      <w:bookmarkEnd w:id="38"/>
      <w:r w:rsidRPr="00577C42">
        <w:rPr>
          <w:color w:val="auto"/>
        </w:rPr>
        <w:t xml:space="preserve"> </w:t>
      </w:r>
      <w:r w:rsidR="00FA1C78" w:rsidRPr="00C032D3">
        <w:rPr>
          <w:color w:val="auto"/>
        </w:rPr>
        <w:t>2017</w:t>
      </w:r>
      <w:r w:rsidRPr="00577C42">
        <w:rPr>
          <w:color w:val="auto"/>
        </w:rPr>
        <w:t xml:space="preserve">). The former was </w:t>
      </w:r>
      <w:r w:rsidR="007F7279">
        <w:rPr>
          <w:color w:val="auto"/>
        </w:rPr>
        <w:t xml:space="preserve">helped </w:t>
      </w:r>
      <w:r w:rsidRPr="00577C42">
        <w:rPr>
          <w:color w:val="auto"/>
        </w:rPr>
        <w:t xml:space="preserve">by the availability of a large </w:t>
      </w:r>
      <w:r w:rsidR="00FA1C78" w:rsidRPr="00C032D3">
        <w:rPr>
          <w:color w:val="auto"/>
        </w:rPr>
        <w:t>data set</w:t>
      </w:r>
      <w:r w:rsidRPr="00577C42">
        <w:rPr>
          <w:color w:val="auto"/>
        </w:rPr>
        <w:t xml:space="preserve"> of regulatory standards covering primarily </w:t>
      </w:r>
      <w:r w:rsidR="00FA1C78" w:rsidRPr="00577C42">
        <w:rPr>
          <w:color w:val="auto"/>
        </w:rPr>
        <w:t>emission</w:t>
      </w:r>
      <w:r w:rsidRPr="00577C42">
        <w:rPr>
          <w:color w:val="auto"/>
        </w:rPr>
        <w:t>s (</w:t>
      </w:r>
      <w:bookmarkStart w:id="39" w:name="OLE_LINK53"/>
      <w:bookmarkStart w:id="40" w:name="OLE_LINK54"/>
      <w:proofErr w:type="spellStart"/>
      <w:r w:rsidRPr="00577C42">
        <w:rPr>
          <w:color w:val="auto"/>
        </w:rPr>
        <w:t>Heichel</w:t>
      </w:r>
      <w:bookmarkEnd w:id="39"/>
      <w:bookmarkEnd w:id="40"/>
      <w:proofErr w:type="spellEnd"/>
      <w:r w:rsidRPr="00577C42">
        <w:rPr>
          <w:color w:val="auto"/>
        </w:rPr>
        <w:t xml:space="preserve"> </w:t>
      </w:r>
      <w:r w:rsidRPr="00577C42">
        <w:rPr>
          <w:i/>
          <w:color w:val="auto"/>
        </w:rPr>
        <w:t>et al.</w:t>
      </w:r>
      <w:r w:rsidRPr="00577C42">
        <w:rPr>
          <w:color w:val="auto"/>
        </w:rPr>
        <w:t xml:space="preserve"> </w:t>
      </w:r>
      <w:r w:rsidR="00FA1C78" w:rsidRPr="00C032D3">
        <w:rPr>
          <w:color w:val="auto"/>
        </w:rPr>
        <w:t>2008</w:t>
      </w:r>
      <w:r w:rsidRPr="00577C42">
        <w:rPr>
          <w:color w:val="auto"/>
        </w:rPr>
        <w:t xml:space="preserve">), while the latter was driven by the debate about the effectiveness of </w:t>
      </w:r>
      <w:r w:rsidR="00F474FA" w:rsidRPr="00577C42">
        <w:rPr>
          <w:color w:val="auto"/>
        </w:rPr>
        <w:t>f</w:t>
      </w:r>
      <w:r w:rsidRPr="00577C42">
        <w:rPr>
          <w:color w:val="auto"/>
        </w:rPr>
        <w:t>eed-</w:t>
      </w:r>
      <w:r w:rsidR="00F474FA" w:rsidRPr="00577C42">
        <w:rPr>
          <w:color w:val="auto"/>
        </w:rPr>
        <w:t>i</w:t>
      </w:r>
      <w:r w:rsidRPr="00577C42">
        <w:rPr>
          <w:color w:val="auto"/>
        </w:rPr>
        <w:t xml:space="preserve">n </w:t>
      </w:r>
      <w:r w:rsidR="00F474FA" w:rsidRPr="00577C42">
        <w:rPr>
          <w:color w:val="auto"/>
        </w:rPr>
        <w:t>t</w:t>
      </w:r>
      <w:r w:rsidRPr="00577C42">
        <w:rPr>
          <w:color w:val="auto"/>
        </w:rPr>
        <w:t xml:space="preserve">ariffs and </w:t>
      </w:r>
      <w:r w:rsidR="00F474FA" w:rsidRPr="00577C42">
        <w:rPr>
          <w:color w:val="auto"/>
        </w:rPr>
        <w:t>r</w:t>
      </w:r>
      <w:r w:rsidRPr="00577C42">
        <w:rPr>
          <w:color w:val="auto"/>
        </w:rPr>
        <w:t xml:space="preserve">enewable </w:t>
      </w:r>
      <w:r w:rsidR="00F474FA" w:rsidRPr="00577C42">
        <w:rPr>
          <w:color w:val="auto"/>
        </w:rPr>
        <w:t>p</w:t>
      </w:r>
      <w:r w:rsidRPr="00577C42">
        <w:rPr>
          <w:color w:val="auto"/>
        </w:rPr>
        <w:t xml:space="preserve">ortfolio </w:t>
      </w:r>
      <w:r w:rsidR="00F474FA" w:rsidRPr="00577C42">
        <w:rPr>
          <w:color w:val="auto"/>
        </w:rPr>
        <w:t>s</w:t>
      </w:r>
      <w:r w:rsidRPr="00577C42">
        <w:rPr>
          <w:color w:val="auto"/>
        </w:rPr>
        <w:t>tandards as renewable energy deployment policy</w:t>
      </w:r>
      <w:r w:rsidR="007F7279">
        <w:rPr>
          <w:color w:val="auto"/>
        </w:rPr>
        <w:t xml:space="preserve"> tools</w:t>
      </w:r>
      <w:r w:rsidRPr="00577C42">
        <w:rPr>
          <w:color w:val="auto"/>
        </w:rPr>
        <w:t>. Generally, these studies focus</w:t>
      </w:r>
      <w:r w:rsidR="007F7279">
        <w:rPr>
          <w:color w:val="auto"/>
        </w:rPr>
        <w:t>ed</w:t>
      </w:r>
      <w:r w:rsidRPr="00577C42">
        <w:rPr>
          <w:color w:val="auto"/>
        </w:rPr>
        <w:t xml:space="preserve"> either on</w:t>
      </w:r>
      <w:r w:rsidR="007F7279">
        <w:rPr>
          <w:color w:val="auto"/>
        </w:rPr>
        <w:t xml:space="preserve"> the</w:t>
      </w:r>
      <w:r w:rsidRPr="00577C42">
        <w:rPr>
          <w:color w:val="auto"/>
        </w:rPr>
        <w:t xml:space="preserve"> </w:t>
      </w:r>
      <w:r w:rsidR="00FA1C78" w:rsidRPr="00C032D3">
        <w:rPr>
          <w:color w:val="auto"/>
        </w:rPr>
        <w:t>macro</w:t>
      </w:r>
      <w:r w:rsidR="00F474FA" w:rsidRPr="00577C42">
        <w:rPr>
          <w:color w:val="auto"/>
        </w:rPr>
        <w:t>-</w:t>
      </w:r>
      <w:r w:rsidRPr="00577C42">
        <w:rPr>
          <w:color w:val="auto"/>
        </w:rPr>
        <w:t xml:space="preserve">level characteristics of policies </w:t>
      </w:r>
      <w:r w:rsidR="00FA1C78" w:rsidRPr="00577C42">
        <w:rPr>
          <w:color w:val="auto"/>
        </w:rPr>
        <w:t>(</w:t>
      </w:r>
      <w:r w:rsidR="00FA1C78" w:rsidRPr="00C032D3">
        <w:rPr>
          <w:color w:val="auto"/>
        </w:rPr>
        <w:t>e.g.</w:t>
      </w:r>
      <w:r w:rsidRPr="00577C42">
        <w:rPr>
          <w:color w:val="auto"/>
        </w:rPr>
        <w:t xml:space="preserve"> policy instrument types</w:t>
      </w:r>
      <w:r w:rsidR="00F474FA" w:rsidRPr="00577C42">
        <w:rPr>
          <w:color w:val="auto"/>
        </w:rPr>
        <w:t>)</w:t>
      </w:r>
      <w:r w:rsidRPr="00577C42">
        <w:rPr>
          <w:color w:val="auto"/>
        </w:rPr>
        <w:t xml:space="preserve">, as in </w:t>
      </w:r>
      <w:bookmarkStart w:id="41" w:name="OLE_LINK57"/>
      <w:bookmarkStart w:id="42" w:name="OLE_LINK58"/>
      <w:proofErr w:type="spellStart"/>
      <w:r w:rsidRPr="00577C42">
        <w:rPr>
          <w:color w:val="auto"/>
        </w:rPr>
        <w:t>Stadelmann</w:t>
      </w:r>
      <w:bookmarkEnd w:id="41"/>
      <w:bookmarkEnd w:id="42"/>
      <w:proofErr w:type="spellEnd"/>
      <w:r w:rsidRPr="00577C42">
        <w:rPr>
          <w:color w:val="auto"/>
        </w:rPr>
        <w:t xml:space="preserve"> and Castro </w:t>
      </w:r>
      <w:r w:rsidR="0089692E" w:rsidRPr="00577C42">
        <w:rPr>
          <w:color w:val="auto"/>
        </w:rPr>
        <w:t>(</w:t>
      </w:r>
      <w:r w:rsidR="00FA1C78" w:rsidRPr="00C032D3">
        <w:rPr>
          <w:color w:val="auto"/>
        </w:rPr>
        <w:t>2014</w:t>
      </w:r>
      <w:r w:rsidRPr="00577C42">
        <w:rPr>
          <w:color w:val="auto"/>
        </w:rPr>
        <w:t>)</w:t>
      </w:r>
      <w:r w:rsidR="00F474FA" w:rsidRPr="00577C42">
        <w:rPr>
          <w:color w:val="auto"/>
        </w:rPr>
        <w:t>,</w:t>
      </w:r>
      <w:r w:rsidRPr="00577C42">
        <w:rPr>
          <w:color w:val="auto"/>
        </w:rPr>
        <w:t xml:space="preserve"> or on very specific regulatory standards </w:t>
      </w:r>
      <w:r w:rsidR="00FA1C78" w:rsidRPr="00577C42">
        <w:rPr>
          <w:color w:val="auto"/>
        </w:rPr>
        <w:t>(</w:t>
      </w:r>
      <w:r w:rsidR="00FA1C78" w:rsidRPr="00C032D3">
        <w:rPr>
          <w:color w:val="auto"/>
        </w:rPr>
        <w:t>e.g.</w:t>
      </w:r>
      <w:r w:rsidRPr="00577C42">
        <w:rPr>
          <w:color w:val="auto"/>
        </w:rPr>
        <w:t xml:space="preserve"> NOx or SO</w:t>
      </w:r>
      <w:r w:rsidRPr="00577C42">
        <w:rPr>
          <w:color w:val="auto"/>
          <w:vertAlign w:val="subscript"/>
        </w:rPr>
        <w:t>2</w:t>
      </w:r>
      <w:r w:rsidRPr="00577C42">
        <w:rPr>
          <w:color w:val="auto"/>
        </w:rPr>
        <w:t xml:space="preserve"> </w:t>
      </w:r>
      <w:r w:rsidR="00FA1C78" w:rsidRPr="00577C42">
        <w:rPr>
          <w:color w:val="auto"/>
        </w:rPr>
        <w:t>emission</w:t>
      </w:r>
      <w:r w:rsidR="00F474FA" w:rsidRPr="00577C42">
        <w:rPr>
          <w:color w:val="auto"/>
        </w:rPr>
        <w:t>s</w:t>
      </w:r>
      <w:r w:rsidRPr="00577C42">
        <w:rPr>
          <w:color w:val="auto"/>
        </w:rPr>
        <w:t xml:space="preserve"> standards for large combustion plants</w:t>
      </w:r>
      <w:r w:rsidR="00F474FA" w:rsidRPr="00577C42">
        <w:rPr>
          <w:color w:val="auto"/>
        </w:rPr>
        <w:t>)</w:t>
      </w:r>
      <w:r w:rsidRPr="00577C42">
        <w:rPr>
          <w:color w:val="auto"/>
        </w:rPr>
        <w:t xml:space="preserve"> as in</w:t>
      </w:r>
      <w:r w:rsidR="00FA1C78" w:rsidRPr="00577C42">
        <w:rPr>
          <w:color w:val="auto"/>
        </w:rPr>
        <w:t>,</w:t>
      </w:r>
      <w:r w:rsidR="00FA1C78" w:rsidRPr="00C032D3">
        <w:rPr>
          <w:color w:val="auto"/>
        </w:rPr>
        <w:t xml:space="preserve"> </w:t>
      </w:r>
      <w:r w:rsidR="00F474FA" w:rsidRPr="00C032D3">
        <w:rPr>
          <w:color w:val="auto"/>
        </w:rPr>
        <w:t>for example,</w:t>
      </w:r>
      <w:r w:rsidRPr="00577C42">
        <w:rPr>
          <w:color w:val="auto"/>
        </w:rPr>
        <w:t xml:space="preserve"> </w:t>
      </w:r>
      <w:bookmarkStart w:id="43" w:name="OLE_LINK55"/>
      <w:bookmarkStart w:id="44" w:name="OLE_LINK56"/>
      <w:proofErr w:type="spellStart"/>
      <w:r w:rsidR="00AA1F78" w:rsidRPr="00577C42">
        <w:rPr>
          <w:color w:val="auto"/>
        </w:rPr>
        <w:t>Liefferink</w:t>
      </w:r>
      <w:proofErr w:type="spellEnd"/>
      <w:r w:rsidR="00AA1F78" w:rsidRPr="00577C42">
        <w:rPr>
          <w:color w:val="auto"/>
        </w:rPr>
        <w:t xml:space="preserve"> </w:t>
      </w:r>
      <w:r w:rsidR="00AA1F78" w:rsidRPr="00577C42">
        <w:rPr>
          <w:i/>
          <w:color w:val="auto"/>
        </w:rPr>
        <w:t>et al.</w:t>
      </w:r>
      <w:r w:rsidR="00AA1F78" w:rsidRPr="00577C42">
        <w:rPr>
          <w:color w:val="auto"/>
        </w:rPr>
        <w:t xml:space="preserve"> </w:t>
      </w:r>
      <w:r w:rsidR="00F474FA" w:rsidRPr="00577C42">
        <w:rPr>
          <w:color w:val="auto"/>
        </w:rPr>
        <w:t>(</w:t>
      </w:r>
      <w:r w:rsidR="00FA1C78" w:rsidRPr="00C032D3">
        <w:rPr>
          <w:color w:val="auto"/>
        </w:rPr>
        <w:t>2009</w:t>
      </w:r>
      <w:r w:rsidR="00F474FA" w:rsidRPr="00577C42">
        <w:rPr>
          <w:color w:val="auto"/>
        </w:rPr>
        <w:t>)</w:t>
      </w:r>
      <w:r w:rsidR="00AA1F78" w:rsidRPr="00577C42">
        <w:rPr>
          <w:color w:val="auto"/>
        </w:rPr>
        <w:t xml:space="preserve">; </w:t>
      </w:r>
      <w:proofErr w:type="spellStart"/>
      <w:r w:rsidRPr="00577C42">
        <w:rPr>
          <w:color w:val="auto"/>
        </w:rPr>
        <w:t>Holzinger</w:t>
      </w:r>
      <w:bookmarkEnd w:id="43"/>
      <w:bookmarkEnd w:id="44"/>
      <w:proofErr w:type="spellEnd"/>
      <w:r w:rsidR="00AA1F78" w:rsidRPr="00577C42">
        <w:rPr>
          <w:color w:val="auto"/>
        </w:rPr>
        <w:t xml:space="preserve">, </w:t>
      </w:r>
      <w:proofErr w:type="spellStart"/>
      <w:r w:rsidR="00AA1F78" w:rsidRPr="00577C42">
        <w:rPr>
          <w:color w:val="auto"/>
        </w:rPr>
        <w:t>Knill</w:t>
      </w:r>
      <w:proofErr w:type="spellEnd"/>
      <w:r w:rsidR="00AA1F78" w:rsidRPr="00577C42">
        <w:rPr>
          <w:color w:val="auto"/>
        </w:rPr>
        <w:t xml:space="preserve"> and Sommerer </w:t>
      </w:r>
      <w:r w:rsidR="00F474FA" w:rsidRPr="00577C42">
        <w:rPr>
          <w:color w:val="auto"/>
        </w:rPr>
        <w:t>(</w:t>
      </w:r>
      <w:r w:rsidR="00FA1C78" w:rsidRPr="00C032D3">
        <w:rPr>
          <w:color w:val="auto"/>
        </w:rPr>
        <w:t>2011</w:t>
      </w:r>
      <w:r w:rsidRPr="00577C42">
        <w:rPr>
          <w:color w:val="auto"/>
        </w:rPr>
        <w:t>). In relation to renewable energy</w:t>
      </w:r>
      <w:r w:rsidR="00F33D94" w:rsidRPr="00577C42">
        <w:rPr>
          <w:color w:val="auto"/>
        </w:rPr>
        <w:t>,</w:t>
      </w:r>
      <w:r w:rsidRPr="00577C42">
        <w:rPr>
          <w:color w:val="auto"/>
        </w:rPr>
        <w:t xml:space="preserve"> four possible mechanisms of policy diffusion</w:t>
      </w:r>
      <w:r w:rsidR="00F474FA" w:rsidRPr="00577C42">
        <w:rPr>
          <w:color w:val="auto"/>
        </w:rPr>
        <w:t>—</w:t>
      </w:r>
      <w:r w:rsidRPr="00577C42">
        <w:rPr>
          <w:color w:val="auto"/>
        </w:rPr>
        <w:t>emulation, suasion, learning and competition</w:t>
      </w:r>
      <w:r w:rsidR="00F474FA" w:rsidRPr="00577C42">
        <w:rPr>
          <w:color w:val="auto"/>
        </w:rPr>
        <w:t>—</w:t>
      </w:r>
      <w:r w:rsidRPr="00577C42">
        <w:rPr>
          <w:color w:val="auto"/>
        </w:rPr>
        <w:t xml:space="preserve">were examined (Alizada </w:t>
      </w:r>
      <w:r w:rsidR="00FA1C78" w:rsidRPr="00C032D3">
        <w:rPr>
          <w:color w:val="auto"/>
        </w:rPr>
        <w:t>2017</w:t>
      </w:r>
      <w:r w:rsidRPr="00577C42">
        <w:rPr>
          <w:color w:val="auto"/>
        </w:rPr>
        <w:t>)</w:t>
      </w:r>
      <w:r w:rsidR="007F7279">
        <w:rPr>
          <w:color w:val="auto"/>
        </w:rPr>
        <w:t>.  S</w:t>
      </w:r>
      <w:r w:rsidRPr="00577C42">
        <w:rPr>
          <w:color w:val="auto"/>
        </w:rPr>
        <w:t>uasion and emulation were found to be more common than learning and competition.</w:t>
      </w:r>
    </w:p>
    <w:p w14:paraId="4C8B3920" w14:textId="063AB0F3" w:rsidR="00FA1C78" w:rsidRPr="00577C42" w:rsidRDefault="008816C2" w:rsidP="00086545">
      <w:pPr>
        <w:rPr>
          <w:color w:val="auto"/>
        </w:rPr>
      </w:pPr>
      <w:r w:rsidRPr="00577C42">
        <w:rPr>
          <w:color w:val="auto"/>
        </w:rPr>
        <w:lastRenderedPageBreak/>
        <w:t>More recently, there has been an explosion in climate change-related policies</w:t>
      </w:r>
      <w:r w:rsidR="00E753FE" w:rsidRPr="00577C42">
        <w:rPr>
          <w:color w:val="auto"/>
        </w:rPr>
        <w:t xml:space="preserve"> </w:t>
      </w:r>
      <w:r w:rsidR="00F474FA" w:rsidRPr="00577C42">
        <w:rPr>
          <w:color w:val="auto"/>
        </w:rPr>
        <w:t xml:space="preserve">in </w:t>
      </w:r>
      <w:r w:rsidR="00E753FE" w:rsidRPr="00577C42">
        <w:rPr>
          <w:color w:val="auto"/>
        </w:rPr>
        <w:t xml:space="preserve">both </w:t>
      </w:r>
      <w:r w:rsidR="00BB6F93" w:rsidRPr="00577C42">
        <w:rPr>
          <w:color w:val="auto"/>
        </w:rPr>
        <w:t xml:space="preserve">developed and developing </w:t>
      </w:r>
      <w:r w:rsidR="00C93EB1" w:rsidRPr="00577C42">
        <w:rPr>
          <w:color w:val="auto"/>
        </w:rPr>
        <w:t>countries</w:t>
      </w:r>
      <w:r w:rsidRPr="00577C42">
        <w:rPr>
          <w:color w:val="auto"/>
        </w:rPr>
        <w:t xml:space="preserve">. Over the period </w:t>
      </w:r>
      <w:r w:rsidR="00FA1C78" w:rsidRPr="00C032D3">
        <w:rPr>
          <w:color w:val="auto"/>
        </w:rPr>
        <w:t>1998</w:t>
      </w:r>
      <w:r w:rsidR="00F474FA" w:rsidRPr="00577C42">
        <w:rPr>
          <w:color w:val="auto"/>
        </w:rPr>
        <w:t>–</w:t>
      </w:r>
      <w:r w:rsidR="00FA1C78" w:rsidRPr="00C032D3">
        <w:rPr>
          <w:color w:val="auto"/>
        </w:rPr>
        <w:t>2010</w:t>
      </w:r>
      <w:r w:rsidRPr="00577C42">
        <w:rPr>
          <w:color w:val="auto"/>
        </w:rPr>
        <w:t>, there was a fivefold increase in national climate laws</w:t>
      </w:r>
      <w:r w:rsidR="00F474FA" w:rsidRPr="00577C42">
        <w:rPr>
          <w:color w:val="auto"/>
        </w:rPr>
        <w:t>,</w:t>
      </w:r>
      <w:r w:rsidRPr="00577C42">
        <w:rPr>
          <w:color w:val="auto"/>
        </w:rPr>
        <w:t xml:space="preserve"> and by </w:t>
      </w:r>
      <w:r w:rsidR="00FA1C78" w:rsidRPr="00C032D3">
        <w:rPr>
          <w:color w:val="auto"/>
        </w:rPr>
        <w:t>2012</w:t>
      </w:r>
      <w:r w:rsidRPr="00577C42">
        <w:rPr>
          <w:color w:val="auto"/>
        </w:rPr>
        <w:t xml:space="preserve"> these laws covered 67</w:t>
      </w:r>
      <w:r w:rsidR="00FA1C78" w:rsidRPr="00C032D3">
        <w:rPr>
          <w:color w:val="auto"/>
        </w:rPr>
        <w:t> per cent</w:t>
      </w:r>
      <w:r w:rsidRPr="00577C42">
        <w:rPr>
          <w:color w:val="auto"/>
        </w:rPr>
        <w:t xml:space="preserve"> of all </w:t>
      </w:r>
      <w:r w:rsidR="00FA1C78" w:rsidRPr="00577C42">
        <w:rPr>
          <w:color w:val="auto"/>
        </w:rPr>
        <w:t>emission</w:t>
      </w:r>
      <w:r w:rsidRPr="00577C42">
        <w:rPr>
          <w:color w:val="auto"/>
        </w:rPr>
        <w:t>s (</w:t>
      </w:r>
      <w:bookmarkStart w:id="45" w:name="OLE_LINK61"/>
      <w:bookmarkStart w:id="46" w:name="OLE_LINK62"/>
      <w:r w:rsidRPr="00577C42">
        <w:rPr>
          <w:color w:val="auto"/>
        </w:rPr>
        <w:t>Jordan</w:t>
      </w:r>
      <w:bookmarkEnd w:id="45"/>
      <w:bookmarkEnd w:id="46"/>
      <w:r w:rsidRPr="00577C42">
        <w:rPr>
          <w:color w:val="auto"/>
        </w:rPr>
        <w:t xml:space="preserve"> and </w:t>
      </w:r>
      <w:proofErr w:type="spellStart"/>
      <w:r w:rsidRPr="00577C42">
        <w:rPr>
          <w:color w:val="auto"/>
        </w:rPr>
        <w:t>Huitema</w:t>
      </w:r>
      <w:proofErr w:type="spellEnd"/>
      <w:r w:rsidRPr="00577C42">
        <w:rPr>
          <w:color w:val="auto"/>
        </w:rPr>
        <w:t xml:space="preserve"> 2014</w:t>
      </w:r>
      <w:r w:rsidR="00AA1F78" w:rsidRPr="00577C42">
        <w:rPr>
          <w:color w:val="auto"/>
        </w:rPr>
        <w:t>b</w:t>
      </w:r>
      <w:r w:rsidRPr="00577C42">
        <w:rPr>
          <w:color w:val="auto"/>
        </w:rPr>
        <w:t>).</w:t>
      </w:r>
    </w:p>
    <w:p w14:paraId="108C04FB" w14:textId="4D59424B" w:rsidR="00FA1C78" w:rsidRPr="00577C42" w:rsidRDefault="008816C2" w:rsidP="00086545">
      <w:pPr>
        <w:rPr>
          <w:color w:val="auto"/>
        </w:rPr>
      </w:pPr>
      <w:r w:rsidRPr="00577C42">
        <w:rPr>
          <w:color w:val="auto"/>
        </w:rPr>
        <w:t xml:space="preserve">There is little research, however, on </w:t>
      </w:r>
      <w:r w:rsidR="007F7279">
        <w:rPr>
          <w:color w:val="auto"/>
        </w:rPr>
        <w:t xml:space="preserve">the </w:t>
      </w:r>
      <w:r w:rsidRPr="00577C42">
        <w:rPr>
          <w:color w:val="auto"/>
        </w:rPr>
        <w:t xml:space="preserve">post-adoption dynamics of diffused policies. Only isolated studies </w:t>
      </w:r>
      <w:r w:rsidR="00FA1C78" w:rsidRPr="00577C42">
        <w:rPr>
          <w:color w:val="auto"/>
        </w:rPr>
        <w:t>(</w:t>
      </w:r>
      <w:r w:rsidR="00FA1C78" w:rsidRPr="00C032D3">
        <w:rPr>
          <w:color w:val="auto"/>
        </w:rPr>
        <w:t>e.g.</w:t>
      </w:r>
      <w:r w:rsidRPr="00577C42">
        <w:rPr>
          <w:color w:val="auto"/>
        </w:rPr>
        <w:t xml:space="preserve"> </w:t>
      </w:r>
      <w:bookmarkStart w:id="47" w:name="OLE_LINK63"/>
      <w:bookmarkStart w:id="48" w:name="OLE_LINK64"/>
      <w:proofErr w:type="spellStart"/>
      <w:r w:rsidRPr="00577C42">
        <w:rPr>
          <w:color w:val="auto"/>
        </w:rPr>
        <w:t>Biesenbender</w:t>
      </w:r>
      <w:bookmarkEnd w:id="47"/>
      <w:bookmarkEnd w:id="48"/>
      <w:proofErr w:type="spellEnd"/>
      <w:r w:rsidRPr="00577C42">
        <w:rPr>
          <w:color w:val="auto"/>
        </w:rPr>
        <w:t xml:space="preserve"> and </w:t>
      </w:r>
      <w:proofErr w:type="spellStart"/>
      <w:r w:rsidRPr="00577C42">
        <w:rPr>
          <w:color w:val="auto"/>
        </w:rPr>
        <w:t>Tosun</w:t>
      </w:r>
      <w:proofErr w:type="spellEnd"/>
      <w:r w:rsidRPr="00577C42">
        <w:rPr>
          <w:color w:val="auto"/>
        </w:rPr>
        <w:t xml:space="preserve"> </w:t>
      </w:r>
      <w:r w:rsidR="00FA1C78" w:rsidRPr="00C032D3">
        <w:rPr>
          <w:color w:val="auto"/>
        </w:rPr>
        <w:t>2014</w:t>
      </w:r>
      <w:r w:rsidRPr="00577C42">
        <w:rPr>
          <w:color w:val="auto"/>
        </w:rPr>
        <w:t xml:space="preserve">) analyse how these policies are </w:t>
      </w:r>
      <w:r w:rsidR="007F7279">
        <w:rPr>
          <w:color w:val="auto"/>
        </w:rPr>
        <w:t xml:space="preserve">adapted </w:t>
      </w:r>
      <w:r w:rsidRPr="00577C42">
        <w:rPr>
          <w:color w:val="auto"/>
        </w:rPr>
        <w:t>in new jurisdictions</w:t>
      </w:r>
      <w:r w:rsidR="008C2781" w:rsidRPr="00577C42">
        <w:rPr>
          <w:color w:val="auto"/>
        </w:rPr>
        <w:t>—</w:t>
      </w:r>
      <w:r w:rsidRPr="00577C42">
        <w:rPr>
          <w:color w:val="auto"/>
        </w:rPr>
        <w:t xml:space="preserve">i.e. how they are modified subsequent to the initial diffusion. </w:t>
      </w:r>
      <w:r w:rsidR="007B19DD" w:rsidRPr="00577C42">
        <w:rPr>
          <w:color w:val="auto"/>
        </w:rPr>
        <w:t>The European Union</w:t>
      </w:r>
      <w:r w:rsidR="00FA1C78" w:rsidRPr="00577C42">
        <w:rPr>
          <w:color w:val="auto"/>
        </w:rPr>
        <w:t>’</w:t>
      </w:r>
      <w:r w:rsidR="007B19DD" w:rsidRPr="00577C42">
        <w:rPr>
          <w:color w:val="auto"/>
        </w:rPr>
        <w:t xml:space="preserve">s </w:t>
      </w:r>
      <w:r w:rsidR="00FA1C78" w:rsidRPr="00577C42">
        <w:rPr>
          <w:color w:val="auto"/>
        </w:rPr>
        <w:t>emission</w:t>
      </w:r>
      <w:r w:rsidR="007B19DD" w:rsidRPr="00577C42">
        <w:rPr>
          <w:color w:val="auto"/>
        </w:rPr>
        <w:t xml:space="preserve">s trading scheme is a good example of the difficulties in adjusting policy from one jurisdiction to another (Cass </w:t>
      </w:r>
      <w:r w:rsidR="00FA1C78" w:rsidRPr="00C032D3">
        <w:rPr>
          <w:color w:val="auto"/>
        </w:rPr>
        <w:t>2005</w:t>
      </w:r>
      <w:r w:rsidR="007B19DD" w:rsidRPr="00577C42">
        <w:rPr>
          <w:color w:val="auto"/>
        </w:rPr>
        <w:t xml:space="preserve">). </w:t>
      </w:r>
      <w:r w:rsidRPr="00577C42">
        <w:rPr>
          <w:color w:val="auto"/>
        </w:rPr>
        <w:t xml:space="preserve">Post-adoption dynamics may even undermine the intended policy impact </w:t>
      </w:r>
      <w:r w:rsidR="008434C5" w:rsidRPr="00577C42">
        <w:rPr>
          <w:color w:val="auto"/>
        </w:rPr>
        <w:t xml:space="preserve">and policy coherence </w:t>
      </w:r>
      <w:r w:rsidRPr="00577C42">
        <w:rPr>
          <w:color w:val="auto"/>
        </w:rPr>
        <w:t xml:space="preserve">(Jordan and </w:t>
      </w:r>
      <w:proofErr w:type="spellStart"/>
      <w:r w:rsidRPr="00577C42">
        <w:rPr>
          <w:color w:val="auto"/>
        </w:rPr>
        <w:t>Huitema</w:t>
      </w:r>
      <w:proofErr w:type="spellEnd"/>
      <w:r w:rsidRPr="00577C42">
        <w:rPr>
          <w:color w:val="auto"/>
        </w:rPr>
        <w:t xml:space="preserve"> 2014a).</w:t>
      </w:r>
    </w:p>
    <w:p w14:paraId="0625649E" w14:textId="044B08F4" w:rsidR="00FA1C78" w:rsidRPr="00577C42" w:rsidRDefault="00F33D94" w:rsidP="00086545">
      <w:pPr>
        <w:rPr>
          <w:color w:val="auto"/>
        </w:rPr>
      </w:pPr>
      <w:r w:rsidRPr="00577C42">
        <w:rPr>
          <w:color w:val="auto"/>
        </w:rPr>
        <w:t>S</w:t>
      </w:r>
      <w:r w:rsidR="008816C2" w:rsidRPr="00577C42">
        <w:rPr>
          <w:color w:val="auto"/>
        </w:rPr>
        <w:t xml:space="preserve">ome publicly available </w:t>
      </w:r>
      <w:r w:rsidR="00FA1C78" w:rsidRPr="00C032D3">
        <w:rPr>
          <w:color w:val="auto"/>
        </w:rPr>
        <w:t>data set</w:t>
      </w:r>
      <w:r w:rsidR="008816C2" w:rsidRPr="00577C42">
        <w:rPr>
          <w:color w:val="auto"/>
        </w:rPr>
        <w:t xml:space="preserve">s aim to </w:t>
      </w:r>
      <w:r w:rsidR="001271A6">
        <w:rPr>
          <w:color w:val="auto"/>
        </w:rPr>
        <w:t xml:space="preserve">help </w:t>
      </w:r>
      <w:r w:rsidR="008816C2" w:rsidRPr="00577C42">
        <w:rPr>
          <w:color w:val="auto"/>
        </w:rPr>
        <w:t xml:space="preserve">chart the diffusion of environmental policies, particularly related to climate change and, more specifically, to renewable energy policy. The London School of </w:t>
      </w:r>
      <w:proofErr w:type="spellStart"/>
      <w:r w:rsidR="008816C2" w:rsidRPr="00577C42">
        <w:rPr>
          <w:color w:val="auto"/>
        </w:rPr>
        <w:t>Economics</w:t>
      </w:r>
      <w:r w:rsidR="00FA1C78" w:rsidRPr="00577C42">
        <w:rPr>
          <w:color w:val="auto"/>
        </w:rPr>
        <w:t>’</w:t>
      </w:r>
      <w:r w:rsidR="00F474FA" w:rsidRPr="00577C42">
        <w:rPr>
          <w:color w:val="auto"/>
        </w:rPr>
        <w:t>s</w:t>
      </w:r>
      <w:proofErr w:type="spellEnd"/>
      <w:r w:rsidR="008816C2" w:rsidRPr="00577C42">
        <w:rPr>
          <w:color w:val="auto"/>
        </w:rPr>
        <w:t xml:space="preserve"> Climate Change Laws of the World Database (</w:t>
      </w:r>
      <w:proofErr w:type="spellStart"/>
      <w:r w:rsidR="00AA1F78" w:rsidRPr="00577C42">
        <w:rPr>
          <w:color w:val="auto"/>
        </w:rPr>
        <w:t>Nachmany</w:t>
      </w:r>
      <w:proofErr w:type="spellEnd"/>
      <w:r w:rsidR="00AA1F78" w:rsidRPr="00577C42">
        <w:rPr>
          <w:color w:val="auto"/>
        </w:rPr>
        <w:t xml:space="preserve"> </w:t>
      </w:r>
      <w:r w:rsidR="00AA1F78" w:rsidRPr="00577C42">
        <w:rPr>
          <w:i/>
          <w:color w:val="auto"/>
        </w:rPr>
        <w:t>et al.</w:t>
      </w:r>
      <w:r w:rsidR="008816C2" w:rsidRPr="00577C42">
        <w:rPr>
          <w:color w:val="auto"/>
        </w:rPr>
        <w:t xml:space="preserve"> </w:t>
      </w:r>
      <w:r w:rsidR="00FA1C78" w:rsidRPr="00C032D3">
        <w:rPr>
          <w:color w:val="auto"/>
        </w:rPr>
        <w:t>2017</w:t>
      </w:r>
      <w:r w:rsidR="008816C2" w:rsidRPr="00577C42">
        <w:rPr>
          <w:color w:val="auto"/>
        </w:rPr>
        <w:t>), for example, compiles information on national-level climate policies ranging from adaptation to mitigation to transport. Similarly, REN21</w:t>
      </w:r>
      <w:r w:rsidR="00FA1C78" w:rsidRPr="00577C42">
        <w:rPr>
          <w:color w:val="auto"/>
        </w:rPr>
        <w:t>’</w:t>
      </w:r>
      <w:r w:rsidR="008816C2" w:rsidRPr="00577C42">
        <w:rPr>
          <w:color w:val="auto"/>
        </w:rPr>
        <w:t xml:space="preserve">s Global Status Report charts the use of renewable energy policies across a large sample of national and subnational jurisdictions. International organizations, such as the International Energy Agency (IEA), also collect information on renewable energy-related policies in use across a large sample of jurisdictions. The quality of all these </w:t>
      </w:r>
      <w:r w:rsidR="00FA1C78" w:rsidRPr="00C032D3">
        <w:rPr>
          <w:color w:val="auto"/>
        </w:rPr>
        <w:t>data set</w:t>
      </w:r>
      <w:r w:rsidR="008816C2" w:rsidRPr="00577C42">
        <w:rPr>
          <w:color w:val="auto"/>
        </w:rPr>
        <w:t xml:space="preserve">s, though, varies, as does the method of collection, </w:t>
      </w:r>
      <w:r w:rsidR="008816C2" w:rsidRPr="00C032D3">
        <w:rPr>
          <w:color w:val="auto"/>
        </w:rPr>
        <w:t>categor</w:t>
      </w:r>
      <w:r w:rsidR="00FA1C78" w:rsidRPr="00C032D3">
        <w:rPr>
          <w:color w:val="auto"/>
        </w:rPr>
        <w:t>iza</w:t>
      </w:r>
      <w:r w:rsidR="008816C2" w:rsidRPr="00C032D3">
        <w:rPr>
          <w:color w:val="auto"/>
        </w:rPr>
        <w:t>tion</w:t>
      </w:r>
      <w:r w:rsidR="008816C2" w:rsidRPr="00577C42">
        <w:rPr>
          <w:color w:val="auto"/>
        </w:rPr>
        <w:t xml:space="preserve"> of policies and </w:t>
      </w:r>
      <w:r w:rsidR="001271A6">
        <w:rPr>
          <w:color w:val="auto"/>
        </w:rPr>
        <w:t xml:space="preserve">the level </w:t>
      </w:r>
      <w:r w:rsidR="008816C2" w:rsidRPr="00577C42">
        <w:rPr>
          <w:color w:val="auto"/>
        </w:rPr>
        <w:t>of detailed policy information included. This problem relates to what has been coined the “dependent variable problem in the study of policy change” (</w:t>
      </w:r>
      <w:bookmarkStart w:id="49" w:name="OLE_LINK67"/>
      <w:bookmarkStart w:id="50" w:name="OLE_LINK68"/>
      <w:r w:rsidR="008816C2" w:rsidRPr="00577C42">
        <w:rPr>
          <w:color w:val="auto"/>
        </w:rPr>
        <w:t>Howlett</w:t>
      </w:r>
      <w:bookmarkEnd w:id="49"/>
      <w:bookmarkEnd w:id="50"/>
      <w:r w:rsidR="008816C2" w:rsidRPr="00577C42">
        <w:rPr>
          <w:color w:val="auto"/>
        </w:rPr>
        <w:t xml:space="preserve"> and </w:t>
      </w:r>
      <w:proofErr w:type="spellStart"/>
      <w:r w:rsidR="008816C2" w:rsidRPr="00577C42">
        <w:rPr>
          <w:color w:val="auto"/>
        </w:rPr>
        <w:t>Cashore</w:t>
      </w:r>
      <w:proofErr w:type="spellEnd"/>
      <w:r w:rsidR="008816C2" w:rsidRPr="00577C42">
        <w:rPr>
          <w:color w:val="auto"/>
        </w:rPr>
        <w:t xml:space="preserve"> </w:t>
      </w:r>
      <w:r w:rsidR="00FA1C78" w:rsidRPr="00C032D3">
        <w:rPr>
          <w:color w:val="auto"/>
        </w:rPr>
        <w:t>2009</w:t>
      </w:r>
      <w:r w:rsidR="008816C2" w:rsidRPr="00577C42">
        <w:rPr>
          <w:color w:val="auto"/>
        </w:rPr>
        <w:t>)</w:t>
      </w:r>
      <w:r w:rsidR="008C2781" w:rsidRPr="00577C42">
        <w:rPr>
          <w:color w:val="auto"/>
        </w:rPr>
        <w:t>—</w:t>
      </w:r>
      <w:r w:rsidR="008816C2" w:rsidRPr="00577C42">
        <w:rPr>
          <w:color w:val="auto"/>
        </w:rPr>
        <w:t>i.e. the underlying challenge of how to assess policy output systematically across cases. While efforts have been made to develop a common methodol</w:t>
      </w:r>
      <w:r w:rsidR="00FA1C78" w:rsidRPr="00577C42">
        <w:rPr>
          <w:color w:val="auto"/>
        </w:rPr>
        <w:t>ogy</w:t>
      </w:r>
      <w:r w:rsidR="008816C2" w:rsidRPr="00577C42">
        <w:rPr>
          <w:color w:val="auto"/>
        </w:rPr>
        <w:t xml:space="preserve"> for measuring policy output in a comparable way </w:t>
      </w:r>
      <w:r w:rsidR="00FA1C78" w:rsidRPr="00577C42">
        <w:rPr>
          <w:color w:val="auto"/>
        </w:rPr>
        <w:t>(</w:t>
      </w:r>
      <w:r w:rsidR="00FA1C78" w:rsidRPr="00C032D3">
        <w:rPr>
          <w:color w:val="auto"/>
        </w:rPr>
        <w:t>e.g.</w:t>
      </w:r>
      <w:r w:rsidR="008816C2" w:rsidRPr="00577C42">
        <w:rPr>
          <w:color w:val="auto"/>
        </w:rPr>
        <w:t xml:space="preserve"> </w:t>
      </w:r>
      <w:bookmarkStart w:id="51" w:name="OLE_LINK69"/>
      <w:bookmarkStart w:id="52" w:name="OLE_LINK70"/>
      <w:proofErr w:type="spellStart"/>
      <w:r w:rsidR="008816C2" w:rsidRPr="00577C42">
        <w:rPr>
          <w:color w:val="auto"/>
        </w:rPr>
        <w:t>Knill</w:t>
      </w:r>
      <w:proofErr w:type="spellEnd"/>
      <w:r w:rsidR="00AA1F78" w:rsidRPr="00577C42">
        <w:rPr>
          <w:color w:val="auto"/>
        </w:rPr>
        <w:t xml:space="preserve">, Schulze and </w:t>
      </w:r>
      <w:proofErr w:type="spellStart"/>
      <w:r w:rsidR="00AA1F78" w:rsidRPr="00577C42">
        <w:rPr>
          <w:color w:val="auto"/>
        </w:rPr>
        <w:t>Tosun</w:t>
      </w:r>
      <w:proofErr w:type="spellEnd"/>
      <w:r w:rsidR="00AA1F78" w:rsidRPr="00577C42">
        <w:rPr>
          <w:color w:val="auto"/>
        </w:rPr>
        <w:t xml:space="preserve"> </w:t>
      </w:r>
      <w:bookmarkEnd w:id="51"/>
      <w:bookmarkEnd w:id="52"/>
      <w:r w:rsidR="00FA1C78" w:rsidRPr="00C032D3">
        <w:rPr>
          <w:color w:val="auto"/>
        </w:rPr>
        <w:t>2012</w:t>
      </w:r>
      <w:r w:rsidR="008816C2" w:rsidRPr="00577C42">
        <w:rPr>
          <w:color w:val="auto"/>
        </w:rPr>
        <w:t xml:space="preserve">; </w:t>
      </w:r>
      <w:bookmarkStart w:id="53" w:name="OLE_LINK71"/>
      <w:bookmarkStart w:id="54" w:name="OLE_LINK72"/>
      <w:proofErr w:type="spellStart"/>
      <w:r w:rsidR="008816C2" w:rsidRPr="00577C42">
        <w:rPr>
          <w:color w:val="auto"/>
        </w:rPr>
        <w:t>Schaffrin</w:t>
      </w:r>
      <w:bookmarkEnd w:id="53"/>
      <w:bookmarkEnd w:id="54"/>
      <w:proofErr w:type="spellEnd"/>
      <w:r w:rsidR="00AA1F78" w:rsidRPr="00577C42">
        <w:rPr>
          <w:color w:val="auto"/>
        </w:rPr>
        <w:t xml:space="preserve">, </w:t>
      </w:r>
      <w:proofErr w:type="spellStart"/>
      <w:r w:rsidR="00AA1F78" w:rsidRPr="00577C42">
        <w:rPr>
          <w:color w:val="auto"/>
        </w:rPr>
        <w:t>Sewerin</w:t>
      </w:r>
      <w:proofErr w:type="spellEnd"/>
      <w:r w:rsidR="00AA1F78" w:rsidRPr="00577C42">
        <w:rPr>
          <w:color w:val="auto"/>
        </w:rPr>
        <w:t xml:space="preserve"> and </w:t>
      </w:r>
      <w:proofErr w:type="spellStart"/>
      <w:r w:rsidR="00AA1F78" w:rsidRPr="00577C42">
        <w:rPr>
          <w:color w:val="auto"/>
        </w:rPr>
        <w:t>Seubert</w:t>
      </w:r>
      <w:proofErr w:type="spellEnd"/>
      <w:r w:rsidR="008816C2" w:rsidRPr="00577C42">
        <w:rPr>
          <w:color w:val="auto"/>
        </w:rPr>
        <w:t xml:space="preserve"> </w:t>
      </w:r>
      <w:r w:rsidR="00FA1C78" w:rsidRPr="00C032D3">
        <w:rPr>
          <w:color w:val="auto"/>
        </w:rPr>
        <w:t>2015</w:t>
      </w:r>
      <w:r w:rsidR="008816C2" w:rsidRPr="00577C42">
        <w:rPr>
          <w:color w:val="auto"/>
        </w:rPr>
        <w:t>), these approaches are only slowly being taken up</w:t>
      </w:r>
      <w:r w:rsidR="002E6CB2" w:rsidRPr="00577C42">
        <w:rPr>
          <w:color w:val="auto"/>
        </w:rPr>
        <w:t>,</w:t>
      </w:r>
      <w:r w:rsidR="008816C2" w:rsidRPr="00577C42">
        <w:rPr>
          <w:color w:val="auto"/>
        </w:rPr>
        <w:t xml:space="preserve"> and </w:t>
      </w:r>
      <w:r w:rsidR="003F6C88" w:rsidRPr="00577C42">
        <w:rPr>
          <w:color w:val="auto"/>
        </w:rPr>
        <w:t>most</w:t>
      </w:r>
      <w:r w:rsidR="008816C2" w:rsidRPr="00577C42">
        <w:rPr>
          <w:color w:val="auto"/>
        </w:rPr>
        <w:t xml:space="preserve"> policy dynamics analysis continues to apply diverse or </w:t>
      </w:r>
      <w:r w:rsidR="00FA1C78" w:rsidRPr="00C032D3">
        <w:rPr>
          <w:color w:val="auto"/>
        </w:rPr>
        <w:t>ad hoc</w:t>
      </w:r>
      <w:r w:rsidR="008816C2" w:rsidRPr="00577C42">
        <w:rPr>
          <w:color w:val="auto"/>
        </w:rPr>
        <w:t xml:space="preserve"> </w:t>
      </w:r>
      <w:r w:rsidR="001271A6">
        <w:rPr>
          <w:color w:val="auto"/>
        </w:rPr>
        <w:t>concepts</w:t>
      </w:r>
      <w:r w:rsidR="001271A6" w:rsidRPr="00577C42">
        <w:rPr>
          <w:color w:val="auto"/>
        </w:rPr>
        <w:t xml:space="preserve"> </w:t>
      </w:r>
      <w:r w:rsidR="008816C2" w:rsidRPr="00577C42">
        <w:rPr>
          <w:color w:val="auto"/>
        </w:rPr>
        <w:t>and measurements of policy output. Thus, despite prolonged interest in the topic and efforts to provide systematic policy information, knowledge of the spatial diffusion of environmental policies, especially outside the specific policy field of renewable energy, remains limited.</w:t>
      </w:r>
    </w:p>
    <w:p w14:paraId="6872376F" w14:textId="7D3965A7" w:rsidR="00FA1C78" w:rsidRPr="00577C42" w:rsidRDefault="008816C2" w:rsidP="00B04299">
      <w:pPr>
        <w:pStyle w:val="Heading3"/>
      </w:pPr>
      <w:bookmarkStart w:id="55" w:name="_ae46k748n5a2" w:colFirst="0" w:colLast="0"/>
      <w:bookmarkStart w:id="56" w:name="_Toc511747972"/>
      <w:bookmarkEnd w:id="55"/>
      <w:r w:rsidRPr="00577C42">
        <w:t xml:space="preserve">Temporal dynamics: policy </w:t>
      </w:r>
      <w:r w:rsidR="00715AD6" w:rsidRPr="00C032D3">
        <w:t>change</w:t>
      </w:r>
      <w:r w:rsidR="002E6CB2" w:rsidRPr="00C032D3">
        <w:t xml:space="preserve"> </w:t>
      </w:r>
      <w:r w:rsidR="00FA1C78" w:rsidRPr="00C032D3">
        <w:t>over</w:t>
      </w:r>
      <w:r w:rsidRPr="00577C42">
        <w:t xml:space="preserve"> time</w:t>
      </w:r>
      <w:bookmarkEnd w:id="56"/>
    </w:p>
    <w:p w14:paraId="11CAE618" w14:textId="4AC14E53" w:rsidR="00FA1C78" w:rsidRPr="00577C42" w:rsidRDefault="008816C2" w:rsidP="00086545">
      <w:pPr>
        <w:rPr>
          <w:color w:val="auto"/>
        </w:rPr>
      </w:pPr>
      <w:r w:rsidRPr="00577C42">
        <w:rPr>
          <w:color w:val="auto"/>
        </w:rPr>
        <w:t xml:space="preserve">If and how policies </w:t>
      </w:r>
      <w:r w:rsidR="00715AD6" w:rsidRPr="00C032D3">
        <w:rPr>
          <w:color w:val="auto"/>
        </w:rPr>
        <w:t>change</w:t>
      </w:r>
      <w:r w:rsidR="002E6CB2" w:rsidRPr="00C032D3">
        <w:rPr>
          <w:color w:val="auto"/>
        </w:rPr>
        <w:t xml:space="preserve"> </w:t>
      </w:r>
      <w:r w:rsidR="00FA1C78" w:rsidRPr="00C032D3">
        <w:rPr>
          <w:color w:val="auto"/>
        </w:rPr>
        <w:t>over</w:t>
      </w:r>
      <w:r w:rsidRPr="00577C42">
        <w:rPr>
          <w:color w:val="auto"/>
        </w:rPr>
        <w:t xml:space="preserve"> time and what factors drive these changes </w:t>
      </w:r>
      <w:r w:rsidR="002E6CB2" w:rsidRPr="00577C42">
        <w:rPr>
          <w:color w:val="auto"/>
        </w:rPr>
        <w:t>are</w:t>
      </w:r>
      <w:r w:rsidRPr="00577C42">
        <w:rPr>
          <w:color w:val="auto"/>
        </w:rPr>
        <w:t xml:space="preserve"> </w:t>
      </w:r>
      <w:r w:rsidR="00966AB7">
        <w:rPr>
          <w:color w:val="auto"/>
        </w:rPr>
        <w:t xml:space="preserve">important </w:t>
      </w:r>
      <w:r w:rsidRPr="00577C42">
        <w:rPr>
          <w:color w:val="auto"/>
        </w:rPr>
        <w:t>topic</w:t>
      </w:r>
      <w:r w:rsidR="002E6CB2" w:rsidRPr="00577C42">
        <w:rPr>
          <w:color w:val="auto"/>
        </w:rPr>
        <w:t>s</w:t>
      </w:r>
      <w:r w:rsidRPr="00577C42">
        <w:rPr>
          <w:color w:val="auto"/>
        </w:rPr>
        <w:t xml:space="preserve"> in the </w:t>
      </w:r>
      <w:r w:rsidR="00FA1C78" w:rsidRPr="00577C42">
        <w:rPr>
          <w:color w:val="auto"/>
        </w:rPr>
        <w:t>academic</w:t>
      </w:r>
      <w:r w:rsidRPr="00577C42">
        <w:rPr>
          <w:color w:val="auto"/>
        </w:rPr>
        <w:t xml:space="preserve"> literature. </w:t>
      </w:r>
      <w:r w:rsidR="00C24A6C" w:rsidRPr="00577C42">
        <w:rPr>
          <w:color w:val="auto"/>
        </w:rPr>
        <w:t xml:space="preserve">The </w:t>
      </w:r>
      <w:r w:rsidR="00966AB7">
        <w:rPr>
          <w:color w:val="auto"/>
        </w:rPr>
        <w:t>different</w:t>
      </w:r>
      <w:r w:rsidR="00966AB7" w:rsidRPr="00577C42">
        <w:rPr>
          <w:color w:val="auto"/>
        </w:rPr>
        <w:t xml:space="preserve"> </w:t>
      </w:r>
      <w:r w:rsidRPr="00577C42">
        <w:rPr>
          <w:color w:val="auto"/>
        </w:rPr>
        <w:t xml:space="preserve">approaches </w:t>
      </w:r>
      <w:r w:rsidR="00C24A6C" w:rsidRPr="00577C42">
        <w:rPr>
          <w:color w:val="auto"/>
        </w:rPr>
        <w:t xml:space="preserve">for </w:t>
      </w:r>
      <w:r w:rsidR="00966AB7">
        <w:rPr>
          <w:color w:val="auto"/>
        </w:rPr>
        <w:t>understanding</w:t>
      </w:r>
      <w:r w:rsidR="00966AB7" w:rsidRPr="00577C42">
        <w:rPr>
          <w:color w:val="auto"/>
        </w:rPr>
        <w:t xml:space="preserve"> </w:t>
      </w:r>
      <w:r w:rsidR="00C24A6C" w:rsidRPr="00577C42">
        <w:rPr>
          <w:color w:val="auto"/>
        </w:rPr>
        <w:t>policy change can be categorized</w:t>
      </w:r>
      <w:r w:rsidR="002E6CB2" w:rsidRPr="00577C42">
        <w:rPr>
          <w:color w:val="auto"/>
        </w:rPr>
        <w:t>,</w:t>
      </w:r>
      <w:r w:rsidR="00C24A6C" w:rsidRPr="00577C42">
        <w:rPr>
          <w:color w:val="auto"/>
        </w:rPr>
        <w:t xml:space="preserve"> </w:t>
      </w:r>
      <w:r w:rsidR="00496AD6" w:rsidRPr="00577C42">
        <w:rPr>
          <w:color w:val="auto"/>
        </w:rPr>
        <w:t>o</w:t>
      </w:r>
      <w:r w:rsidRPr="00577C42">
        <w:rPr>
          <w:color w:val="auto"/>
        </w:rPr>
        <w:t xml:space="preserve">n the one </w:t>
      </w:r>
      <w:r w:rsidR="008435D3" w:rsidRPr="00577C42">
        <w:rPr>
          <w:color w:val="auto"/>
        </w:rPr>
        <w:t xml:space="preserve">hand, </w:t>
      </w:r>
      <w:r w:rsidR="008435D3">
        <w:rPr>
          <w:color w:val="auto"/>
        </w:rPr>
        <w:t>in</w:t>
      </w:r>
      <w:r w:rsidR="00496AD6" w:rsidRPr="00577C42">
        <w:rPr>
          <w:color w:val="auto"/>
        </w:rPr>
        <w:t xml:space="preserve"> </w:t>
      </w:r>
      <w:r w:rsidRPr="00577C42">
        <w:rPr>
          <w:color w:val="auto"/>
        </w:rPr>
        <w:t>path-dependency literature</w:t>
      </w:r>
      <w:r w:rsidR="00966AB7">
        <w:rPr>
          <w:color w:val="auto"/>
        </w:rPr>
        <w:t>,</w:t>
      </w:r>
      <w:r w:rsidRPr="00577C42">
        <w:rPr>
          <w:color w:val="auto"/>
        </w:rPr>
        <w:t xml:space="preserve"> </w:t>
      </w:r>
      <w:r w:rsidR="00DB6905" w:rsidRPr="00577C42">
        <w:rPr>
          <w:color w:val="auto"/>
        </w:rPr>
        <w:t xml:space="preserve">which </w:t>
      </w:r>
      <w:r w:rsidRPr="00577C42">
        <w:rPr>
          <w:color w:val="auto"/>
        </w:rPr>
        <w:t>stresses that early policy decisions lock</w:t>
      </w:r>
      <w:r w:rsidR="002E6CB2" w:rsidRPr="00577C42">
        <w:rPr>
          <w:color w:val="auto"/>
        </w:rPr>
        <w:t xml:space="preserve"> </w:t>
      </w:r>
      <w:r w:rsidRPr="00577C42">
        <w:rPr>
          <w:color w:val="auto"/>
        </w:rPr>
        <w:t xml:space="preserve">in policy choices and that most policies only change incrementally after they are implemented (Pierson </w:t>
      </w:r>
      <w:r w:rsidR="00FA1C78" w:rsidRPr="00C032D3">
        <w:rPr>
          <w:color w:val="auto"/>
        </w:rPr>
        <w:t>2000</w:t>
      </w:r>
      <w:r w:rsidRPr="00577C42">
        <w:rPr>
          <w:color w:val="auto"/>
        </w:rPr>
        <w:t xml:space="preserve">). The main </w:t>
      </w:r>
      <w:r w:rsidR="00966AB7">
        <w:rPr>
          <w:color w:val="auto"/>
        </w:rPr>
        <w:t xml:space="preserve">reason for </w:t>
      </w:r>
      <w:r w:rsidRPr="00577C42">
        <w:rPr>
          <w:color w:val="auto"/>
        </w:rPr>
        <w:t xml:space="preserve">such stability is </w:t>
      </w:r>
      <w:r w:rsidR="00966AB7">
        <w:rPr>
          <w:color w:val="auto"/>
        </w:rPr>
        <w:t xml:space="preserve">thought to be </w:t>
      </w:r>
      <w:r w:rsidRPr="00577C42">
        <w:rPr>
          <w:color w:val="auto"/>
        </w:rPr>
        <w:t>positive feedback</w:t>
      </w:r>
      <w:r w:rsidR="00AD1269" w:rsidRPr="00577C42">
        <w:rPr>
          <w:color w:val="auto"/>
        </w:rPr>
        <w:t xml:space="preserve">, </w:t>
      </w:r>
      <w:r w:rsidR="002E6CB2" w:rsidRPr="00577C42">
        <w:rPr>
          <w:color w:val="auto"/>
        </w:rPr>
        <w:t>through for example,</w:t>
      </w:r>
      <w:r w:rsidR="00AD1269" w:rsidRPr="00577C42">
        <w:rPr>
          <w:color w:val="auto"/>
        </w:rPr>
        <w:t xml:space="preserve"> policy learning</w:t>
      </w:r>
      <w:r w:rsidRPr="00577C42">
        <w:rPr>
          <w:color w:val="auto"/>
        </w:rPr>
        <w:t xml:space="preserve"> that creates and sustains </w:t>
      </w:r>
      <w:r w:rsidR="00FA1C78" w:rsidRPr="00C032D3">
        <w:rPr>
          <w:color w:val="auto"/>
        </w:rPr>
        <w:t>self</w:t>
      </w:r>
      <w:r w:rsidR="00FA1C78" w:rsidRPr="00577C42">
        <w:rPr>
          <w:color w:val="auto"/>
        </w:rPr>
        <w:t>-</w:t>
      </w:r>
      <w:r w:rsidRPr="00577C42">
        <w:rPr>
          <w:color w:val="auto"/>
        </w:rPr>
        <w:t xml:space="preserve">reinforcing processes around a policy. On the other hand, the punctuated equilibrium approach seeks to explain how </w:t>
      </w:r>
      <w:r w:rsidRPr="00577C42">
        <w:rPr>
          <w:color w:val="auto"/>
        </w:rPr>
        <w:lastRenderedPageBreak/>
        <w:t xml:space="preserve">otherwise stable policies can unravel in a sudden burst of abrupt, </w:t>
      </w:r>
      <w:r w:rsidR="00FA1C78" w:rsidRPr="00C032D3">
        <w:rPr>
          <w:color w:val="auto"/>
        </w:rPr>
        <w:t>non</w:t>
      </w:r>
      <w:r w:rsidR="00FA1C78" w:rsidRPr="00577C42">
        <w:rPr>
          <w:color w:val="auto"/>
        </w:rPr>
        <w:t>-</w:t>
      </w:r>
      <w:r w:rsidRPr="00577C42">
        <w:rPr>
          <w:color w:val="auto"/>
        </w:rPr>
        <w:t xml:space="preserve">incremental change (Baumgartner and Jones </w:t>
      </w:r>
      <w:r w:rsidR="00FA1C78" w:rsidRPr="00C032D3">
        <w:rPr>
          <w:color w:val="auto"/>
        </w:rPr>
        <w:t>2009</w:t>
      </w:r>
      <w:r w:rsidRPr="00577C42">
        <w:rPr>
          <w:color w:val="auto"/>
        </w:rPr>
        <w:t xml:space="preserve">; </w:t>
      </w:r>
      <w:r w:rsidR="00380A8B" w:rsidRPr="00577C42">
        <w:rPr>
          <w:color w:val="auto"/>
        </w:rPr>
        <w:t xml:space="preserve">Colgan, </w:t>
      </w:r>
      <w:r w:rsidRPr="00577C42">
        <w:rPr>
          <w:color w:val="auto"/>
        </w:rPr>
        <w:t xml:space="preserve">Keohane and Van de Graaf </w:t>
      </w:r>
      <w:r w:rsidR="00FA1C78" w:rsidRPr="00C032D3">
        <w:rPr>
          <w:color w:val="auto"/>
        </w:rPr>
        <w:t>201</w:t>
      </w:r>
      <w:r w:rsidR="00FF75E7">
        <w:rPr>
          <w:color w:val="auto"/>
        </w:rPr>
        <w:t>2</w:t>
      </w:r>
      <w:r w:rsidRPr="00577C42">
        <w:rPr>
          <w:color w:val="auto"/>
        </w:rPr>
        <w:t xml:space="preserve">). The main driver of these punctuations is </w:t>
      </w:r>
      <w:r w:rsidR="00966AB7">
        <w:rPr>
          <w:color w:val="auto"/>
        </w:rPr>
        <w:t>thought to be external</w:t>
      </w:r>
      <w:r w:rsidRPr="00577C42">
        <w:rPr>
          <w:color w:val="auto"/>
        </w:rPr>
        <w:t xml:space="preserve"> shocks that tilt the otherwise stable balance of positive and negative feedbacks towards a new equilibrium. </w:t>
      </w:r>
      <w:r w:rsidR="00006FD0" w:rsidRPr="00577C42">
        <w:rPr>
          <w:color w:val="auto"/>
        </w:rPr>
        <w:t>One example of such a shock could be a legal case that challenges the legitimacy of the environmental policy.</w:t>
      </w:r>
      <w:r w:rsidR="00680D03" w:rsidRPr="00577C42">
        <w:rPr>
          <w:color w:val="auto"/>
        </w:rPr>
        <w:t xml:space="preserve"> A punctuation could also </w:t>
      </w:r>
      <w:r w:rsidR="002E6CB2" w:rsidRPr="00577C42">
        <w:rPr>
          <w:color w:val="auto"/>
        </w:rPr>
        <w:t xml:space="preserve">create </w:t>
      </w:r>
      <w:r w:rsidR="00680D03" w:rsidRPr="00577C42">
        <w:rPr>
          <w:color w:val="auto"/>
        </w:rPr>
        <w:t>opportunities for environmental policies</w:t>
      </w:r>
      <w:r w:rsidR="002E6CB2" w:rsidRPr="00577C42">
        <w:rPr>
          <w:color w:val="auto"/>
        </w:rPr>
        <w:t>; for example</w:t>
      </w:r>
      <w:r w:rsidR="00680D03" w:rsidRPr="00577C42">
        <w:rPr>
          <w:color w:val="auto"/>
        </w:rPr>
        <w:t>,</w:t>
      </w:r>
      <w:r w:rsidR="00100A6B" w:rsidRPr="00577C42">
        <w:rPr>
          <w:color w:val="auto"/>
        </w:rPr>
        <w:t xml:space="preserve"> </w:t>
      </w:r>
      <w:r w:rsidR="00680D03" w:rsidRPr="00577C42">
        <w:rPr>
          <w:color w:val="auto"/>
        </w:rPr>
        <w:t xml:space="preserve">the Fukushima disaster </w:t>
      </w:r>
      <w:r w:rsidR="00F33D94" w:rsidRPr="00577C42">
        <w:rPr>
          <w:color w:val="auto"/>
        </w:rPr>
        <w:t xml:space="preserve">in Japan may have </w:t>
      </w:r>
      <w:r w:rsidR="00680D03" w:rsidRPr="00577C42">
        <w:rPr>
          <w:color w:val="auto"/>
        </w:rPr>
        <w:t xml:space="preserve">led to </w:t>
      </w:r>
      <w:r w:rsidR="00F33D94" w:rsidRPr="00577C42">
        <w:rPr>
          <w:color w:val="auto"/>
        </w:rPr>
        <w:t>Germany</w:t>
      </w:r>
      <w:r w:rsidR="00FA1C78" w:rsidRPr="00577C42">
        <w:rPr>
          <w:color w:val="auto"/>
        </w:rPr>
        <w:t>’</w:t>
      </w:r>
      <w:r w:rsidR="00F33D94" w:rsidRPr="00577C42">
        <w:rPr>
          <w:color w:val="auto"/>
        </w:rPr>
        <w:t xml:space="preserve">s policies to </w:t>
      </w:r>
      <w:r w:rsidR="00680D03" w:rsidRPr="00577C42">
        <w:rPr>
          <w:color w:val="auto"/>
        </w:rPr>
        <w:t xml:space="preserve">phase out nuclear </w:t>
      </w:r>
      <w:r w:rsidR="00F33D94" w:rsidRPr="00577C42">
        <w:rPr>
          <w:color w:val="auto"/>
        </w:rPr>
        <w:t>energy</w:t>
      </w:r>
      <w:r w:rsidR="00680D03" w:rsidRPr="00577C42">
        <w:rPr>
          <w:color w:val="auto"/>
        </w:rPr>
        <w:t xml:space="preserve"> </w:t>
      </w:r>
      <w:r w:rsidR="005054F6" w:rsidRPr="00577C42">
        <w:rPr>
          <w:color w:val="auto"/>
        </w:rPr>
        <w:t>(</w:t>
      </w:r>
      <w:proofErr w:type="spellStart"/>
      <w:r w:rsidR="005054F6" w:rsidRPr="00577C42">
        <w:rPr>
          <w:color w:val="auto"/>
        </w:rPr>
        <w:t>Wittneben</w:t>
      </w:r>
      <w:proofErr w:type="spellEnd"/>
      <w:r w:rsidR="005054F6" w:rsidRPr="00577C42">
        <w:rPr>
          <w:color w:val="auto"/>
        </w:rPr>
        <w:t xml:space="preserve"> </w:t>
      </w:r>
      <w:r w:rsidR="00FA1C78" w:rsidRPr="00C032D3">
        <w:rPr>
          <w:color w:val="auto"/>
        </w:rPr>
        <w:t>2012</w:t>
      </w:r>
      <w:r w:rsidR="005054F6" w:rsidRPr="00577C42">
        <w:rPr>
          <w:color w:val="auto"/>
        </w:rPr>
        <w:t>)</w:t>
      </w:r>
      <w:r w:rsidR="00100A6B" w:rsidRPr="00577C42">
        <w:rPr>
          <w:color w:val="auto"/>
        </w:rPr>
        <w:t>.</w:t>
      </w:r>
    </w:p>
    <w:p w14:paraId="3CEADEDB" w14:textId="5DAEFB03" w:rsidR="00FA1C78" w:rsidRPr="00577C42" w:rsidRDefault="008816C2" w:rsidP="00086545">
      <w:pPr>
        <w:rPr>
          <w:color w:val="auto"/>
        </w:rPr>
      </w:pPr>
      <w:r w:rsidRPr="00577C42">
        <w:rPr>
          <w:color w:val="auto"/>
        </w:rPr>
        <w:t xml:space="preserve">Both approaches have been applied in the analysis of environmental policy change (e.g. </w:t>
      </w:r>
      <w:proofErr w:type="spellStart"/>
      <w:r w:rsidRPr="00577C42">
        <w:rPr>
          <w:color w:val="auto"/>
        </w:rPr>
        <w:t>Daugbjerg</w:t>
      </w:r>
      <w:proofErr w:type="spellEnd"/>
      <w:r w:rsidRPr="00577C42">
        <w:rPr>
          <w:color w:val="auto"/>
        </w:rPr>
        <w:t xml:space="preserve"> </w:t>
      </w:r>
      <w:r w:rsidR="00FA1C78" w:rsidRPr="00C032D3">
        <w:rPr>
          <w:color w:val="auto"/>
        </w:rPr>
        <w:t>2003</w:t>
      </w:r>
      <w:r w:rsidRPr="00577C42">
        <w:rPr>
          <w:color w:val="auto"/>
        </w:rPr>
        <w:t xml:space="preserve">; Repetto </w:t>
      </w:r>
      <w:r w:rsidR="00FA1C78" w:rsidRPr="00C032D3">
        <w:rPr>
          <w:color w:val="auto"/>
        </w:rPr>
        <w:t>2006</w:t>
      </w:r>
      <w:r w:rsidRPr="00577C42">
        <w:rPr>
          <w:color w:val="auto"/>
        </w:rPr>
        <w:t xml:space="preserve">), although </w:t>
      </w:r>
      <w:r w:rsidR="00966AB7">
        <w:rPr>
          <w:color w:val="auto"/>
        </w:rPr>
        <w:t xml:space="preserve">the </w:t>
      </w:r>
      <w:r w:rsidRPr="00577C42">
        <w:rPr>
          <w:color w:val="auto"/>
        </w:rPr>
        <w:t>applications have mostly concentrated on large pr</w:t>
      </w:r>
      <w:r w:rsidR="00FA1C78" w:rsidRPr="00577C42">
        <w:rPr>
          <w:color w:val="auto"/>
        </w:rPr>
        <w:t>ogra</w:t>
      </w:r>
      <w:r w:rsidRPr="00577C42">
        <w:rPr>
          <w:color w:val="auto"/>
        </w:rPr>
        <w:t xml:space="preserve">mmes </w:t>
      </w:r>
      <w:proofErr w:type="gramStart"/>
      <w:r w:rsidRPr="00577C42">
        <w:rPr>
          <w:color w:val="auto"/>
        </w:rPr>
        <w:t>in particular policy</w:t>
      </w:r>
      <w:proofErr w:type="gramEnd"/>
      <w:r w:rsidRPr="00577C42">
        <w:rPr>
          <w:color w:val="auto"/>
        </w:rPr>
        <w:t xml:space="preserve"> areas</w:t>
      </w:r>
      <w:r w:rsidR="00966AB7">
        <w:rPr>
          <w:color w:val="auto"/>
        </w:rPr>
        <w:t>,</w:t>
      </w:r>
      <w:r w:rsidRPr="00577C42">
        <w:rPr>
          <w:color w:val="auto"/>
        </w:rPr>
        <w:t xml:space="preserve"> such as agriculture. Recent literature has argued that focusing exclusively on positive feedback or on the catalytic effect of external shocks is </w:t>
      </w:r>
      <w:r w:rsidR="00B167C8" w:rsidRPr="00577C42">
        <w:rPr>
          <w:color w:val="auto"/>
        </w:rPr>
        <w:t xml:space="preserve">not </w:t>
      </w:r>
      <w:r w:rsidRPr="00577C42">
        <w:rPr>
          <w:color w:val="auto"/>
        </w:rPr>
        <w:t xml:space="preserve">very helpful for intentionally designing policies that </w:t>
      </w:r>
      <w:r w:rsidR="009D2A90" w:rsidRPr="00577C42">
        <w:rPr>
          <w:color w:val="auto"/>
        </w:rPr>
        <w:t xml:space="preserve">can </w:t>
      </w:r>
      <w:r w:rsidRPr="00577C42">
        <w:rPr>
          <w:color w:val="auto"/>
        </w:rPr>
        <w:t xml:space="preserve">both create positive feedback and withstand sustained negative feedback and </w:t>
      </w:r>
      <w:r w:rsidR="00966AB7">
        <w:rPr>
          <w:color w:val="auto"/>
        </w:rPr>
        <w:t>external</w:t>
      </w:r>
      <w:r w:rsidR="00966AB7" w:rsidRPr="00577C42">
        <w:rPr>
          <w:color w:val="auto"/>
        </w:rPr>
        <w:t xml:space="preserve"> </w:t>
      </w:r>
      <w:r w:rsidRPr="00577C42">
        <w:rPr>
          <w:color w:val="auto"/>
        </w:rPr>
        <w:t xml:space="preserve">shocks (Jordan and Matt </w:t>
      </w:r>
      <w:r w:rsidR="00FA1C78" w:rsidRPr="00C032D3">
        <w:rPr>
          <w:color w:val="auto"/>
        </w:rPr>
        <w:t>2014</w:t>
      </w:r>
      <w:r w:rsidRPr="00577C42">
        <w:rPr>
          <w:color w:val="auto"/>
        </w:rPr>
        <w:t>).</w:t>
      </w:r>
    </w:p>
    <w:p w14:paraId="0329F257" w14:textId="4C4A3F54" w:rsidR="00FA1C78" w:rsidRPr="00577C42" w:rsidRDefault="008816C2" w:rsidP="00086545">
      <w:pPr>
        <w:rPr>
          <w:color w:val="auto"/>
        </w:rPr>
      </w:pPr>
      <w:r w:rsidRPr="00577C42">
        <w:rPr>
          <w:color w:val="auto"/>
        </w:rPr>
        <w:t xml:space="preserve">The complexity of environmental problems can </w:t>
      </w:r>
      <w:r w:rsidR="00B167C8" w:rsidRPr="00577C42">
        <w:rPr>
          <w:color w:val="auto"/>
        </w:rPr>
        <w:t xml:space="preserve">also </w:t>
      </w:r>
      <w:r w:rsidRPr="00577C42">
        <w:rPr>
          <w:color w:val="auto"/>
        </w:rPr>
        <w:t xml:space="preserve">increase the risk of </w:t>
      </w:r>
      <w:r w:rsidR="00966AB7">
        <w:rPr>
          <w:color w:val="auto"/>
        </w:rPr>
        <w:t>‘</w:t>
      </w:r>
      <w:r w:rsidRPr="00577C42">
        <w:rPr>
          <w:color w:val="auto"/>
        </w:rPr>
        <w:t>policy under</w:t>
      </w:r>
      <w:r w:rsidR="00934807" w:rsidRPr="00577C42">
        <w:rPr>
          <w:color w:val="auto"/>
        </w:rPr>
        <w:t>-</w:t>
      </w:r>
      <w:r w:rsidRPr="00577C42">
        <w:rPr>
          <w:color w:val="auto"/>
        </w:rPr>
        <w:t>reaction</w:t>
      </w:r>
      <w:r w:rsidR="00966AB7">
        <w:rPr>
          <w:color w:val="auto"/>
        </w:rPr>
        <w:t>’ by decision-makers</w:t>
      </w:r>
      <w:r w:rsidRPr="00577C42">
        <w:rPr>
          <w:color w:val="auto"/>
        </w:rPr>
        <w:t xml:space="preserve">, </w:t>
      </w:r>
      <w:r w:rsidR="00966AB7">
        <w:rPr>
          <w:color w:val="auto"/>
        </w:rPr>
        <w:t xml:space="preserve">since </w:t>
      </w:r>
      <w:r w:rsidR="00B167C8" w:rsidRPr="00577C42">
        <w:rPr>
          <w:color w:val="auto"/>
        </w:rPr>
        <w:t xml:space="preserve">it is difficult for policymakers to </w:t>
      </w:r>
      <w:r w:rsidRPr="00577C42">
        <w:rPr>
          <w:color w:val="auto"/>
        </w:rPr>
        <w:t>accurate</w:t>
      </w:r>
      <w:r w:rsidR="00B167C8" w:rsidRPr="00577C42">
        <w:rPr>
          <w:color w:val="auto"/>
        </w:rPr>
        <w:t>ly</w:t>
      </w:r>
      <w:r w:rsidRPr="00577C42">
        <w:rPr>
          <w:color w:val="auto"/>
        </w:rPr>
        <w:t xml:space="preserve"> estimat</w:t>
      </w:r>
      <w:r w:rsidR="00B167C8" w:rsidRPr="00577C42">
        <w:rPr>
          <w:color w:val="auto"/>
        </w:rPr>
        <w:t>e</w:t>
      </w:r>
      <w:r w:rsidRPr="00577C42">
        <w:rPr>
          <w:color w:val="auto"/>
        </w:rPr>
        <w:t xml:space="preserve"> risks (</w:t>
      </w:r>
      <w:proofErr w:type="spellStart"/>
      <w:r w:rsidRPr="00577C42">
        <w:rPr>
          <w:color w:val="auto"/>
        </w:rPr>
        <w:t>Maor</w:t>
      </w:r>
      <w:proofErr w:type="spellEnd"/>
      <w:r w:rsidRPr="00577C42">
        <w:rPr>
          <w:color w:val="auto"/>
        </w:rPr>
        <w:t xml:space="preserve"> </w:t>
      </w:r>
      <w:r w:rsidR="00FA1C78" w:rsidRPr="00C032D3">
        <w:rPr>
          <w:color w:val="auto"/>
        </w:rPr>
        <w:t>2014</w:t>
      </w:r>
      <w:r w:rsidRPr="00577C42">
        <w:rPr>
          <w:color w:val="auto"/>
        </w:rPr>
        <w:t xml:space="preserve">). </w:t>
      </w:r>
      <w:r w:rsidR="00EB3510" w:rsidRPr="00577C42">
        <w:rPr>
          <w:color w:val="auto"/>
        </w:rPr>
        <w:t xml:space="preserve">To avoid </w:t>
      </w:r>
      <w:r w:rsidR="00010099" w:rsidRPr="00577C42">
        <w:rPr>
          <w:color w:val="auto"/>
        </w:rPr>
        <w:t>risks from taking decision</w:t>
      </w:r>
      <w:r w:rsidR="009D2A90" w:rsidRPr="00577C42">
        <w:rPr>
          <w:color w:val="auto"/>
        </w:rPr>
        <w:t>s</w:t>
      </w:r>
      <w:r w:rsidR="00010099" w:rsidRPr="00577C42">
        <w:rPr>
          <w:color w:val="auto"/>
        </w:rPr>
        <w:t xml:space="preserve"> with unwanted side effects, </w:t>
      </w:r>
      <w:r w:rsidR="00EB3510" w:rsidRPr="00577C42">
        <w:rPr>
          <w:color w:val="auto"/>
        </w:rPr>
        <w:t>p</w:t>
      </w:r>
      <w:r w:rsidRPr="00577C42">
        <w:rPr>
          <w:color w:val="auto"/>
        </w:rPr>
        <w:t xml:space="preserve">olicymakers </w:t>
      </w:r>
      <w:r w:rsidR="00010099" w:rsidRPr="00577C42">
        <w:rPr>
          <w:color w:val="auto"/>
        </w:rPr>
        <w:t xml:space="preserve">tend to delay </w:t>
      </w:r>
      <w:r w:rsidRPr="00577C42">
        <w:rPr>
          <w:color w:val="auto"/>
        </w:rPr>
        <w:t xml:space="preserve">decisive action </w:t>
      </w:r>
      <w:proofErr w:type="gramStart"/>
      <w:r w:rsidRPr="00577C42">
        <w:rPr>
          <w:color w:val="auto"/>
        </w:rPr>
        <w:t>as long as</w:t>
      </w:r>
      <w:proofErr w:type="gramEnd"/>
      <w:r w:rsidRPr="00577C42">
        <w:rPr>
          <w:color w:val="auto"/>
        </w:rPr>
        <w:t xml:space="preserve"> possible and, confronted with external shocks, choos</w:t>
      </w:r>
      <w:r w:rsidR="00B167C8" w:rsidRPr="00577C42">
        <w:rPr>
          <w:color w:val="auto"/>
        </w:rPr>
        <w:t>e</w:t>
      </w:r>
      <w:r w:rsidRPr="00577C42">
        <w:rPr>
          <w:color w:val="auto"/>
        </w:rPr>
        <w:t xml:space="preserve"> symbolic action rather than effective policymaking (Howlett </w:t>
      </w:r>
      <w:r w:rsidR="00FA1C78" w:rsidRPr="00C032D3">
        <w:rPr>
          <w:color w:val="auto"/>
        </w:rPr>
        <w:t>2014</w:t>
      </w:r>
      <w:r w:rsidRPr="00577C42">
        <w:rPr>
          <w:color w:val="auto"/>
        </w:rPr>
        <w:t xml:space="preserve">). </w:t>
      </w:r>
      <w:r w:rsidR="00010099" w:rsidRPr="00577C42">
        <w:rPr>
          <w:color w:val="auto"/>
        </w:rPr>
        <w:t xml:space="preserve">There are </w:t>
      </w:r>
      <w:proofErr w:type="gramStart"/>
      <w:r w:rsidR="00010099" w:rsidRPr="00577C42">
        <w:rPr>
          <w:color w:val="auto"/>
        </w:rPr>
        <w:t>a number of</w:t>
      </w:r>
      <w:proofErr w:type="gramEnd"/>
      <w:r w:rsidR="00010099" w:rsidRPr="00577C42">
        <w:rPr>
          <w:color w:val="auto"/>
        </w:rPr>
        <w:t xml:space="preserve"> suggestions </w:t>
      </w:r>
      <w:r w:rsidR="00B167C8" w:rsidRPr="00577C42">
        <w:rPr>
          <w:color w:val="auto"/>
        </w:rPr>
        <w:t xml:space="preserve">for </w:t>
      </w:r>
      <w:r w:rsidR="00010099" w:rsidRPr="00577C42">
        <w:rPr>
          <w:color w:val="auto"/>
        </w:rPr>
        <w:t>strengthening the</w:t>
      </w:r>
      <w:r w:rsidR="00966AB7">
        <w:rPr>
          <w:color w:val="auto"/>
        </w:rPr>
        <w:t xml:space="preserve"> importance of the </w:t>
      </w:r>
      <w:r w:rsidR="00010099" w:rsidRPr="00577C42">
        <w:rPr>
          <w:color w:val="auto"/>
        </w:rPr>
        <w:t xml:space="preserve">environment within </w:t>
      </w:r>
      <w:r w:rsidR="00B167C8" w:rsidRPr="00577C42">
        <w:rPr>
          <w:color w:val="auto"/>
        </w:rPr>
        <w:t>S</w:t>
      </w:r>
      <w:r w:rsidR="00010099" w:rsidRPr="00577C42">
        <w:rPr>
          <w:color w:val="auto"/>
        </w:rPr>
        <w:t>tate</w:t>
      </w:r>
      <w:r w:rsidR="00966AB7">
        <w:rPr>
          <w:color w:val="auto"/>
        </w:rPr>
        <w:t>s</w:t>
      </w:r>
      <w:r w:rsidR="00010099" w:rsidRPr="00577C42">
        <w:rPr>
          <w:color w:val="auto"/>
        </w:rPr>
        <w:t xml:space="preserve"> to overcome such shortcomings (</w:t>
      </w:r>
      <w:proofErr w:type="spellStart"/>
      <w:r w:rsidR="00010099" w:rsidRPr="00577C42">
        <w:rPr>
          <w:color w:val="auto"/>
        </w:rPr>
        <w:t>Kloepfer</w:t>
      </w:r>
      <w:proofErr w:type="spellEnd"/>
      <w:r w:rsidR="00010099" w:rsidRPr="00577C42">
        <w:rPr>
          <w:color w:val="auto"/>
        </w:rPr>
        <w:t xml:space="preserve"> </w:t>
      </w:r>
      <w:r w:rsidR="00FA1C78" w:rsidRPr="00C032D3">
        <w:rPr>
          <w:color w:val="auto"/>
        </w:rPr>
        <w:t>1989</w:t>
      </w:r>
      <w:r w:rsidR="00B167C8" w:rsidRPr="00577C42">
        <w:rPr>
          <w:color w:val="auto"/>
        </w:rPr>
        <w:t>;</w:t>
      </w:r>
      <w:r w:rsidR="00010099" w:rsidRPr="00577C42">
        <w:rPr>
          <w:color w:val="auto"/>
        </w:rPr>
        <w:t xml:space="preserve"> </w:t>
      </w:r>
      <w:proofErr w:type="spellStart"/>
      <w:r w:rsidR="00010099" w:rsidRPr="00577C42">
        <w:rPr>
          <w:color w:val="auto"/>
        </w:rPr>
        <w:t>Callies</w:t>
      </w:r>
      <w:r w:rsidR="003F6C88" w:rsidRPr="00577C42">
        <w:rPr>
          <w:color w:val="auto"/>
        </w:rPr>
        <w:t>s</w:t>
      </w:r>
      <w:proofErr w:type="spellEnd"/>
      <w:r w:rsidR="00010099" w:rsidRPr="00577C42">
        <w:rPr>
          <w:color w:val="auto"/>
        </w:rPr>
        <w:t xml:space="preserve"> </w:t>
      </w:r>
      <w:r w:rsidR="00FA1C78" w:rsidRPr="00C032D3">
        <w:rPr>
          <w:color w:val="auto"/>
        </w:rPr>
        <w:t>2001</w:t>
      </w:r>
      <w:r w:rsidR="00B167C8" w:rsidRPr="00577C42">
        <w:rPr>
          <w:color w:val="auto"/>
        </w:rPr>
        <w:t>;</w:t>
      </w:r>
      <w:r w:rsidR="00010099" w:rsidRPr="00577C42">
        <w:rPr>
          <w:color w:val="auto"/>
        </w:rPr>
        <w:t xml:space="preserve"> Eckersley </w:t>
      </w:r>
      <w:r w:rsidR="00FA1C78" w:rsidRPr="00C032D3">
        <w:rPr>
          <w:color w:val="auto"/>
        </w:rPr>
        <w:t>2005</w:t>
      </w:r>
      <w:r w:rsidR="00B167C8" w:rsidRPr="00577C42">
        <w:rPr>
          <w:color w:val="auto"/>
        </w:rPr>
        <w:t>;</w:t>
      </w:r>
      <w:r w:rsidR="00010099" w:rsidRPr="00577C42">
        <w:rPr>
          <w:color w:val="auto"/>
        </w:rPr>
        <w:t xml:space="preserve"> </w:t>
      </w:r>
      <w:proofErr w:type="spellStart"/>
      <w:r w:rsidR="00010099" w:rsidRPr="00577C42">
        <w:rPr>
          <w:color w:val="auto"/>
        </w:rPr>
        <w:t>Jänicke</w:t>
      </w:r>
      <w:proofErr w:type="spellEnd"/>
      <w:r w:rsidR="00010099" w:rsidRPr="00577C42">
        <w:rPr>
          <w:color w:val="auto"/>
        </w:rPr>
        <w:t xml:space="preserve"> </w:t>
      </w:r>
      <w:r w:rsidR="00FA1C78" w:rsidRPr="00C032D3">
        <w:rPr>
          <w:color w:val="auto"/>
        </w:rPr>
        <w:t>2007</w:t>
      </w:r>
      <w:r w:rsidR="00010099" w:rsidRPr="00577C42">
        <w:rPr>
          <w:color w:val="auto"/>
        </w:rPr>
        <w:t>)</w:t>
      </w:r>
      <w:r w:rsidR="00B167C8" w:rsidRPr="00577C42">
        <w:rPr>
          <w:color w:val="auto"/>
        </w:rPr>
        <w:t>;</w:t>
      </w:r>
      <w:r w:rsidR="00010099" w:rsidRPr="00577C42">
        <w:rPr>
          <w:color w:val="auto"/>
        </w:rPr>
        <w:t xml:space="preserve"> however</w:t>
      </w:r>
      <w:r w:rsidR="00B167C8" w:rsidRPr="00577C42">
        <w:rPr>
          <w:color w:val="auto"/>
        </w:rPr>
        <w:t>,</w:t>
      </w:r>
      <w:r w:rsidR="00010099" w:rsidRPr="00577C42">
        <w:rPr>
          <w:color w:val="auto"/>
        </w:rPr>
        <w:t xml:space="preserve"> this </w:t>
      </w:r>
      <w:r w:rsidR="00B167C8" w:rsidRPr="00577C42">
        <w:rPr>
          <w:color w:val="auto"/>
        </w:rPr>
        <w:t>has</w:t>
      </w:r>
      <w:r w:rsidR="00010099" w:rsidRPr="00577C42">
        <w:rPr>
          <w:color w:val="auto"/>
        </w:rPr>
        <w:t xml:space="preserve"> not </w:t>
      </w:r>
      <w:r w:rsidR="00966AB7">
        <w:rPr>
          <w:color w:val="auto"/>
        </w:rPr>
        <w:t>happened</w:t>
      </w:r>
      <w:r w:rsidR="00010099" w:rsidRPr="00577C42">
        <w:rPr>
          <w:color w:val="auto"/>
        </w:rPr>
        <w:t xml:space="preserve"> so far: the </w:t>
      </w:r>
      <w:r w:rsidR="00966AB7">
        <w:rPr>
          <w:color w:val="auto"/>
        </w:rPr>
        <w:t xml:space="preserve">importance of the </w:t>
      </w:r>
      <w:r w:rsidR="00010099" w:rsidRPr="00577C42">
        <w:rPr>
          <w:color w:val="auto"/>
        </w:rPr>
        <w:t xml:space="preserve">environment is not </w:t>
      </w:r>
      <w:r w:rsidR="00010099" w:rsidRPr="00C032D3">
        <w:rPr>
          <w:color w:val="auto"/>
        </w:rPr>
        <w:t>institutional</w:t>
      </w:r>
      <w:r w:rsidR="00FA1C78" w:rsidRPr="00C032D3">
        <w:rPr>
          <w:color w:val="auto"/>
        </w:rPr>
        <w:t>ize</w:t>
      </w:r>
      <w:r w:rsidR="00010099" w:rsidRPr="00C032D3">
        <w:rPr>
          <w:color w:val="auto"/>
        </w:rPr>
        <w:t>d</w:t>
      </w:r>
      <w:r w:rsidR="00010099" w:rsidRPr="00577C42">
        <w:rPr>
          <w:color w:val="auto"/>
        </w:rPr>
        <w:t xml:space="preserve"> as a priority but competes with other</w:t>
      </w:r>
      <w:r w:rsidR="00982B2F" w:rsidRPr="00577C42">
        <w:rPr>
          <w:color w:val="auto"/>
        </w:rPr>
        <w:t xml:space="preserve"> goals of governments.</w:t>
      </w:r>
    </w:p>
    <w:p w14:paraId="197BE93F" w14:textId="061BEAB9" w:rsidR="00FA1C78" w:rsidRPr="00577C42" w:rsidRDefault="008816C2" w:rsidP="00086545">
      <w:pPr>
        <w:rPr>
          <w:color w:val="auto"/>
        </w:rPr>
      </w:pPr>
      <w:r w:rsidRPr="00577C42">
        <w:rPr>
          <w:color w:val="auto"/>
        </w:rPr>
        <w:t xml:space="preserve">Against this background, research is increasingly turning to policy design (Howlett and </w:t>
      </w:r>
      <w:proofErr w:type="spellStart"/>
      <w:r w:rsidRPr="00577C42">
        <w:rPr>
          <w:color w:val="auto"/>
        </w:rPr>
        <w:t>Lejano</w:t>
      </w:r>
      <w:proofErr w:type="spellEnd"/>
      <w:r w:rsidRPr="00577C42">
        <w:rPr>
          <w:color w:val="auto"/>
        </w:rPr>
        <w:t xml:space="preserve"> </w:t>
      </w:r>
      <w:r w:rsidR="00FA1C78" w:rsidRPr="00C032D3">
        <w:rPr>
          <w:color w:val="auto"/>
        </w:rPr>
        <w:t>2013</w:t>
      </w:r>
      <w:r w:rsidRPr="00577C42">
        <w:rPr>
          <w:color w:val="auto"/>
        </w:rPr>
        <w:t xml:space="preserve">) and seeks to understand how policy design choices can </w:t>
      </w:r>
      <w:r w:rsidR="00046026">
        <w:rPr>
          <w:color w:val="auto"/>
        </w:rPr>
        <w:t xml:space="preserve">create </w:t>
      </w:r>
      <w:r w:rsidRPr="00577C42">
        <w:rPr>
          <w:color w:val="auto"/>
        </w:rPr>
        <w:t>policy change</w:t>
      </w:r>
      <w:r w:rsidR="008C2781" w:rsidRPr="00577C42">
        <w:rPr>
          <w:color w:val="auto"/>
        </w:rPr>
        <w:t>—</w:t>
      </w:r>
      <w:r w:rsidRPr="00577C42">
        <w:rPr>
          <w:color w:val="auto"/>
        </w:rPr>
        <w:t xml:space="preserve">i.e. how steps of incremental policy change can, over time, </w:t>
      </w:r>
      <w:r w:rsidR="00FA1C78" w:rsidRPr="00C032D3">
        <w:rPr>
          <w:color w:val="auto"/>
        </w:rPr>
        <w:t>build up</w:t>
      </w:r>
      <w:r w:rsidRPr="00577C42">
        <w:rPr>
          <w:color w:val="auto"/>
        </w:rPr>
        <w:t xml:space="preserve"> to </w:t>
      </w:r>
      <w:r w:rsidR="00046026">
        <w:rPr>
          <w:color w:val="auto"/>
        </w:rPr>
        <w:t xml:space="preserve">create </w:t>
      </w:r>
      <w:r w:rsidR="009D2A90" w:rsidRPr="00577C42">
        <w:rPr>
          <w:color w:val="auto"/>
        </w:rPr>
        <w:t xml:space="preserve">transformational </w:t>
      </w:r>
      <w:r w:rsidRPr="00577C42">
        <w:rPr>
          <w:color w:val="auto"/>
        </w:rPr>
        <w:t xml:space="preserve">change. Policies that are </w:t>
      </w:r>
      <w:r w:rsidR="00FA1C78" w:rsidRPr="00577C42">
        <w:rPr>
          <w:color w:val="auto"/>
        </w:rPr>
        <w:t>‘</w:t>
      </w:r>
      <w:r w:rsidRPr="00577C42">
        <w:rPr>
          <w:color w:val="auto"/>
        </w:rPr>
        <w:t>sticky</w:t>
      </w:r>
      <w:r w:rsidR="00FA1C78" w:rsidRPr="00577C42">
        <w:rPr>
          <w:color w:val="auto"/>
        </w:rPr>
        <w:t>’</w:t>
      </w:r>
      <w:r w:rsidRPr="00577C42">
        <w:rPr>
          <w:color w:val="auto"/>
        </w:rPr>
        <w:t xml:space="preserve"> (i.e. persistent) but not </w:t>
      </w:r>
      <w:r w:rsidR="00FA1C78" w:rsidRPr="00577C42">
        <w:rPr>
          <w:color w:val="auto"/>
        </w:rPr>
        <w:t>‘</w:t>
      </w:r>
      <w:r w:rsidRPr="00577C42">
        <w:rPr>
          <w:color w:val="auto"/>
        </w:rPr>
        <w:t>stuck</w:t>
      </w:r>
      <w:r w:rsidR="00FA1C78" w:rsidRPr="00577C42">
        <w:rPr>
          <w:color w:val="auto"/>
        </w:rPr>
        <w:t>’</w:t>
      </w:r>
      <w:r w:rsidRPr="00577C42">
        <w:rPr>
          <w:color w:val="auto"/>
        </w:rPr>
        <w:t xml:space="preserve"> (i.e. unresponsive to changing conditions) and that create positive feedbacks </w:t>
      </w:r>
      <w:proofErr w:type="gramStart"/>
      <w:r w:rsidRPr="00577C42">
        <w:rPr>
          <w:color w:val="auto"/>
        </w:rPr>
        <w:t>are seen as</w:t>
      </w:r>
      <w:proofErr w:type="gramEnd"/>
      <w:r w:rsidRPr="00577C42">
        <w:rPr>
          <w:color w:val="auto"/>
        </w:rPr>
        <w:t xml:space="preserve"> a potential </w:t>
      </w:r>
      <w:r w:rsidR="00B167C8" w:rsidRPr="00577C42">
        <w:rPr>
          <w:color w:val="auto"/>
        </w:rPr>
        <w:t xml:space="preserve">way </w:t>
      </w:r>
      <w:r w:rsidRPr="00577C42">
        <w:rPr>
          <w:color w:val="auto"/>
        </w:rPr>
        <w:t>to increas</w:t>
      </w:r>
      <w:r w:rsidR="00B167C8" w:rsidRPr="00577C42">
        <w:rPr>
          <w:color w:val="auto"/>
        </w:rPr>
        <w:t>e</w:t>
      </w:r>
      <w:r w:rsidRPr="00577C42">
        <w:rPr>
          <w:color w:val="auto"/>
        </w:rPr>
        <w:t xml:space="preserve"> the effectiveness of environmental policies (Jordan and Matt </w:t>
      </w:r>
      <w:r w:rsidR="00FA1C78" w:rsidRPr="00C032D3">
        <w:rPr>
          <w:color w:val="auto"/>
        </w:rPr>
        <w:t>2014</w:t>
      </w:r>
      <w:r w:rsidRPr="00577C42">
        <w:rPr>
          <w:color w:val="auto"/>
        </w:rPr>
        <w:t xml:space="preserve">). </w:t>
      </w:r>
      <w:r w:rsidR="00540272" w:rsidRPr="00577C42">
        <w:rPr>
          <w:color w:val="auto"/>
        </w:rPr>
        <w:t xml:space="preserve">The Paris </w:t>
      </w:r>
      <w:r w:rsidR="009D2A90" w:rsidRPr="00577C42">
        <w:rPr>
          <w:color w:val="auto"/>
        </w:rPr>
        <w:t>A</w:t>
      </w:r>
      <w:r w:rsidR="00540272" w:rsidRPr="00577C42">
        <w:rPr>
          <w:color w:val="auto"/>
        </w:rPr>
        <w:t xml:space="preserve">greement </w:t>
      </w:r>
      <w:r w:rsidR="009D2A90" w:rsidRPr="00577C42">
        <w:rPr>
          <w:color w:val="auto"/>
        </w:rPr>
        <w:t xml:space="preserve">on climate change </w:t>
      </w:r>
      <w:r w:rsidR="00540272" w:rsidRPr="00577C42">
        <w:rPr>
          <w:color w:val="auto"/>
        </w:rPr>
        <w:t>and its ratcheting</w:t>
      </w:r>
      <w:r w:rsidR="00B167C8" w:rsidRPr="00577C42">
        <w:rPr>
          <w:color w:val="auto"/>
        </w:rPr>
        <w:t>-</w:t>
      </w:r>
      <w:r w:rsidR="00540272" w:rsidRPr="00577C42">
        <w:rPr>
          <w:color w:val="auto"/>
        </w:rPr>
        <w:t xml:space="preserve">up mechanism is a prominent example </w:t>
      </w:r>
      <w:r w:rsidR="00046026">
        <w:rPr>
          <w:color w:val="auto"/>
        </w:rPr>
        <w:t xml:space="preserve">of this concept </w:t>
      </w:r>
      <w:r w:rsidR="00540272" w:rsidRPr="00577C42">
        <w:rPr>
          <w:color w:val="auto"/>
        </w:rPr>
        <w:t xml:space="preserve">(Falkner </w:t>
      </w:r>
      <w:r w:rsidR="00FA1C78" w:rsidRPr="00C032D3">
        <w:rPr>
          <w:color w:val="auto"/>
        </w:rPr>
        <w:t>2016</w:t>
      </w:r>
      <w:r w:rsidR="00540272" w:rsidRPr="00577C42">
        <w:rPr>
          <w:color w:val="auto"/>
        </w:rPr>
        <w:t xml:space="preserve">). </w:t>
      </w:r>
      <w:r w:rsidRPr="00577C42">
        <w:rPr>
          <w:color w:val="auto"/>
        </w:rPr>
        <w:t xml:space="preserve">The need for such a forward-looking approach to policy design </w:t>
      </w:r>
      <w:r w:rsidR="00046026">
        <w:rPr>
          <w:color w:val="auto"/>
        </w:rPr>
        <w:t xml:space="preserve">can be seen </w:t>
      </w:r>
      <w:r w:rsidRPr="00577C42">
        <w:rPr>
          <w:color w:val="auto"/>
        </w:rPr>
        <w:t xml:space="preserve">in policy fields that are troubled with complexity, as is the case for most environmental problems (Levin </w:t>
      </w:r>
      <w:r w:rsidRPr="00577C42">
        <w:rPr>
          <w:i/>
          <w:color w:val="auto"/>
        </w:rPr>
        <w:t>et al.</w:t>
      </w:r>
      <w:r w:rsidRPr="00577C42">
        <w:rPr>
          <w:color w:val="auto"/>
        </w:rPr>
        <w:t xml:space="preserve"> </w:t>
      </w:r>
      <w:r w:rsidR="00FA1C78" w:rsidRPr="00C032D3">
        <w:rPr>
          <w:color w:val="auto"/>
        </w:rPr>
        <w:t>2013</w:t>
      </w:r>
      <w:r w:rsidRPr="00577C42">
        <w:rPr>
          <w:color w:val="auto"/>
        </w:rPr>
        <w:t>).</w:t>
      </w:r>
      <w:r w:rsidR="005D6DDF" w:rsidRPr="00577C42">
        <w:rPr>
          <w:color w:val="auto"/>
        </w:rPr>
        <w:t xml:space="preserve"> The design of international regimes </w:t>
      </w:r>
      <w:r w:rsidR="00046026">
        <w:rPr>
          <w:color w:val="auto"/>
        </w:rPr>
        <w:t xml:space="preserve">heavily influences </w:t>
      </w:r>
      <w:r w:rsidR="005D6DDF" w:rsidRPr="00577C42">
        <w:rPr>
          <w:color w:val="auto"/>
        </w:rPr>
        <w:t>their effectiveness</w:t>
      </w:r>
      <w:r w:rsidR="00B167C8" w:rsidRPr="00577C42">
        <w:rPr>
          <w:color w:val="auto"/>
        </w:rPr>
        <w:t>—</w:t>
      </w:r>
      <w:r w:rsidR="005D6DDF" w:rsidRPr="00577C42">
        <w:rPr>
          <w:color w:val="auto"/>
        </w:rPr>
        <w:t>even more important</w:t>
      </w:r>
      <w:r w:rsidR="00356089">
        <w:rPr>
          <w:color w:val="auto"/>
        </w:rPr>
        <w:t>ly</w:t>
      </w:r>
      <w:r w:rsidR="005D6DDF" w:rsidRPr="00577C42">
        <w:rPr>
          <w:color w:val="auto"/>
        </w:rPr>
        <w:t xml:space="preserve"> than the </w:t>
      </w:r>
      <w:r w:rsidR="00356089">
        <w:rPr>
          <w:color w:val="auto"/>
        </w:rPr>
        <w:t xml:space="preserve">type of </w:t>
      </w:r>
      <w:r w:rsidR="005D6DDF" w:rsidRPr="00577C42">
        <w:rPr>
          <w:color w:val="auto"/>
        </w:rPr>
        <w:t>underlying problem</w:t>
      </w:r>
      <w:r w:rsidR="00B167C8" w:rsidRPr="00577C42">
        <w:rPr>
          <w:color w:val="auto"/>
        </w:rPr>
        <w:t>.</w:t>
      </w:r>
      <w:r w:rsidR="005D6DDF" w:rsidRPr="00577C42">
        <w:rPr>
          <w:color w:val="auto"/>
        </w:rPr>
        <w:t xml:space="preserve"> </w:t>
      </w:r>
      <w:r w:rsidR="00B167C8" w:rsidRPr="00577C42">
        <w:rPr>
          <w:color w:val="auto"/>
        </w:rPr>
        <w:t>I</w:t>
      </w:r>
      <w:r w:rsidR="005D6DDF" w:rsidRPr="00577C42">
        <w:rPr>
          <w:color w:val="auto"/>
        </w:rPr>
        <w:t>n other words: an easy problem is not solved if an international regime is poorly designed (</w:t>
      </w:r>
      <w:r w:rsidR="00BC5058" w:rsidRPr="00577C42">
        <w:rPr>
          <w:color w:val="auto"/>
        </w:rPr>
        <w:t xml:space="preserve">Young </w:t>
      </w:r>
      <w:r w:rsidR="00FA1C78" w:rsidRPr="00C032D3">
        <w:rPr>
          <w:color w:val="auto"/>
        </w:rPr>
        <w:t>2011</w:t>
      </w:r>
      <w:r w:rsidR="00BC5058" w:rsidRPr="00577C42">
        <w:rPr>
          <w:color w:val="auto"/>
        </w:rPr>
        <w:t>).</w:t>
      </w:r>
      <w:r w:rsidR="00FA1C78" w:rsidRPr="00C032D3">
        <w:rPr>
          <w:color w:val="auto"/>
        </w:rPr>
        <w:t xml:space="preserve"> </w:t>
      </w:r>
      <w:r w:rsidR="00BC5058" w:rsidRPr="00577C42">
        <w:rPr>
          <w:color w:val="auto"/>
        </w:rPr>
        <w:t>Given the context dependency of policies and regimes, a careful diagnosis of the appropriateness of their design is essential (</w:t>
      </w:r>
      <w:r w:rsidR="000A2606" w:rsidRPr="00577C42">
        <w:rPr>
          <w:color w:val="auto"/>
        </w:rPr>
        <w:t xml:space="preserve">Young </w:t>
      </w:r>
      <w:r w:rsidR="000A2606" w:rsidRPr="00C032D3">
        <w:rPr>
          <w:color w:val="auto"/>
        </w:rPr>
        <w:t>2011</w:t>
      </w:r>
      <w:r w:rsidR="00BC5058" w:rsidRPr="00577C42">
        <w:rPr>
          <w:color w:val="auto"/>
        </w:rPr>
        <w:t>)</w:t>
      </w:r>
      <w:r w:rsidR="00100A6B" w:rsidRPr="00577C42">
        <w:rPr>
          <w:color w:val="auto"/>
        </w:rPr>
        <w:t>.</w:t>
      </w:r>
    </w:p>
    <w:p w14:paraId="0C362EC5" w14:textId="381C0E61" w:rsidR="00FA1C78" w:rsidRPr="00577C42" w:rsidRDefault="008816C2" w:rsidP="00086545">
      <w:pPr>
        <w:rPr>
          <w:color w:val="auto"/>
        </w:rPr>
      </w:pPr>
      <w:r w:rsidRPr="00577C42">
        <w:rPr>
          <w:color w:val="auto"/>
        </w:rPr>
        <w:lastRenderedPageBreak/>
        <w:t xml:space="preserve">Policy innovation can be regarded as a mix of invention (new or novel approaches), diffusion (transfer and adoption) and </w:t>
      </w:r>
      <w:r w:rsidR="00356089">
        <w:rPr>
          <w:color w:val="auto"/>
        </w:rPr>
        <w:t xml:space="preserve">monitoring of their </w:t>
      </w:r>
      <w:r w:rsidRPr="00577C42">
        <w:rPr>
          <w:color w:val="auto"/>
        </w:rPr>
        <w:t xml:space="preserve">effects (outcomes, impacts and possibly disruption) (Jordan and </w:t>
      </w:r>
      <w:proofErr w:type="spellStart"/>
      <w:r w:rsidRPr="00577C42">
        <w:rPr>
          <w:color w:val="auto"/>
        </w:rPr>
        <w:t>Huitema</w:t>
      </w:r>
      <w:proofErr w:type="spellEnd"/>
      <w:r w:rsidRPr="00577C42">
        <w:rPr>
          <w:color w:val="auto"/>
        </w:rPr>
        <w:t xml:space="preserve"> 2014</w:t>
      </w:r>
      <w:r w:rsidR="00AA1F78" w:rsidRPr="00577C42">
        <w:rPr>
          <w:color w:val="auto"/>
        </w:rPr>
        <w:t>b</w:t>
      </w:r>
      <w:r w:rsidRPr="00577C42">
        <w:rPr>
          <w:color w:val="auto"/>
        </w:rPr>
        <w:t>).</w:t>
      </w:r>
      <w:r w:rsidR="00FA1C78" w:rsidRPr="00C032D3">
        <w:rPr>
          <w:color w:val="auto"/>
        </w:rPr>
        <w:t xml:space="preserve"> </w:t>
      </w:r>
      <w:r w:rsidRPr="00577C42">
        <w:rPr>
          <w:color w:val="auto"/>
        </w:rPr>
        <w:t xml:space="preserve">The literature on polycentric governance suggests that multiple innovative policies should be implemented as a form of quasi-experiment, with best </w:t>
      </w:r>
      <w:r w:rsidR="00FA1C78" w:rsidRPr="00C032D3">
        <w:rPr>
          <w:color w:val="auto"/>
        </w:rPr>
        <w:t>practice</w:t>
      </w:r>
      <w:r w:rsidRPr="00577C42">
        <w:rPr>
          <w:color w:val="auto"/>
        </w:rPr>
        <w:t>s emerging from the monitored effects.</w:t>
      </w:r>
      <w:r w:rsidR="001E4843" w:rsidRPr="00577C42">
        <w:rPr>
          <w:color w:val="auto"/>
        </w:rPr>
        <w:t xml:space="preserve"> </w:t>
      </w:r>
      <w:r w:rsidR="00E54424" w:rsidRPr="00577C42">
        <w:rPr>
          <w:color w:val="auto"/>
        </w:rPr>
        <w:t xml:space="preserve">It has been argued that governance at the lowest possible level </w:t>
      </w:r>
      <w:r w:rsidR="00E54424" w:rsidRPr="00C032D3">
        <w:rPr>
          <w:color w:val="auto"/>
        </w:rPr>
        <w:t>minim</w:t>
      </w:r>
      <w:r w:rsidR="00FA1C78" w:rsidRPr="00C032D3">
        <w:rPr>
          <w:color w:val="auto"/>
        </w:rPr>
        <w:t>ize</w:t>
      </w:r>
      <w:r w:rsidR="00E54424" w:rsidRPr="00C032D3">
        <w:rPr>
          <w:color w:val="auto"/>
        </w:rPr>
        <w:t>s</w:t>
      </w:r>
      <w:r w:rsidR="00E54424" w:rsidRPr="00577C42">
        <w:rPr>
          <w:color w:val="auto"/>
        </w:rPr>
        <w:t xml:space="preserve"> free-riding as </w:t>
      </w:r>
      <w:r w:rsidR="00B167C8" w:rsidRPr="00577C42">
        <w:rPr>
          <w:color w:val="auto"/>
        </w:rPr>
        <w:t xml:space="preserve">a </w:t>
      </w:r>
      <w:r w:rsidR="00E54424" w:rsidRPr="00577C42">
        <w:rPr>
          <w:color w:val="auto"/>
        </w:rPr>
        <w:t>motivation</w:t>
      </w:r>
      <w:r w:rsidR="00B167C8" w:rsidRPr="00577C42">
        <w:rPr>
          <w:color w:val="auto"/>
        </w:rPr>
        <w:t>,</w:t>
      </w:r>
      <w:r w:rsidR="00E54424" w:rsidRPr="00577C42">
        <w:rPr>
          <w:color w:val="auto"/>
        </w:rPr>
        <w:t xml:space="preserve"> and </w:t>
      </w:r>
      <w:r w:rsidR="00B167C8" w:rsidRPr="00577C42">
        <w:rPr>
          <w:color w:val="auto"/>
        </w:rPr>
        <w:t xml:space="preserve">that </w:t>
      </w:r>
      <w:r w:rsidR="00E54424" w:rsidRPr="00577C42">
        <w:rPr>
          <w:color w:val="auto"/>
        </w:rPr>
        <w:t xml:space="preserve">monitoring is easier in smaller entities, e.g. communities (Marshall </w:t>
      </w:r>
      <w:r w:rsidR="00FA1C78" w:rsidRPr="00C032D3">
        <w:rPr>
          <w:color w:val="auto"/>
        </w:rPr>
        <w:t>2009</w:t>
      </w:r>
      <w:r w:rsidR="00E54424" w:rsidRPr="00577C42">
        <w:rPr>
          <w:color w:val="auto"/>
        </w:rPr>
        <w:t xml:space="preserve">). </w:t>
      </w:r>
      <w:r w:rsidR="00BA69FD" w:rsidRPr="00577C42">
        <w:rPr>
          <w:color w:val="auto"/>
        </w:rPr>
        <w:t>However, on a global scale, polycentric governance could lead to free</w:t>
      </w:r>
      <w:r w:rsidR="00934807" w:rsidRPr="00577C42">
        <w:rPr>
          <w:color w:val="auto"/>
        </w:rPr>
        <w:t>-</w:t>
      </w:r>
      <w:r w:rsidR="00BA69FD" w:rsidRPr="00577C42">
        <w:rPr>
          <w:color w:val="auto"/>
        </w:rPr>
        <w:t xml:space="preserve">riding </w:t>
      </w:r>
      <w:r w:rsidR="00934807" w:rsidRPr="00577C42">
        <w:rPr>
          <w:color w:val="auto"/>
        </w:rPr>
        <w:t>by</w:t>
      </w:r>
      <w:r w:rsidR="00BA69FD" w:rsidRPr="00577C42">
        <w:rPr>
          <w:color w:val="auto"/>
        </w:rPr>
        <w:t xml:space="preserve"> governments</w:t>
      </w:r>
      <w:r w:rsidR="00356089">
        <w:rPr>
          <w:color w:val="auto"/>
        </w:rPr>
        <w:t>, for example</w:t>
      </w:r>
      <w:r w:rsidR="00BA69FD" w:rsidRPr="00577C42">
        <w:rPr>
          <w:color w:val="auto"/>
        </w:rPr>
        <w:t xml:space="preserve"> in </w:t>
      </w:r>
      <w:r w:rsidR="009D2A90" w:rsidRPr="00577C42">
        <w:rPr>
          <w:color w:val="auto"/>
        </w:rPr>
        <w:t xml:space="preserve">the </w:t>
      </w:r>
      <w:r w:rsidR="00BA69FD" w:rsidRPr="00577C42">
        <w:rPr>
          <w:color w:val="auto"/>
        </w:rPr>
        <w:t>absence of a global regime</w:t>
      </w:r>
      <w:r w:rsidR="009D2A90" w:rsidRPr="00577C42">
        <w:rPr>
          <w:color w:val="auto"/>
        </w:rPr>
        <w:t>,</w:t>
      </w:r>
      <w:r w:rsidR="00BA69FD" w:rsidRPr="00577C42">
        <w:rPr>
          <w:color w:val="auto"/>
        </w:rPr>
        <w:t xml:space="preserve"> governments could be tempted to avoid actions while benefiting from mitigation efforts </w:t>
      </w:r>
      <w:r w:rsidR="00325B08" w:rsidRPr="00577C42">
        <w:rPr>
          <w:color w:val="auto"/>
        </w:rPr>
        <w:t xml:space="preserve">by others (Ostrom </w:t>
      </w:r>
      <w:r w:rsidR="00FA1C78" w:rsidRPr="00C032D3">
        <w:rPr>
          <w:color w:val="auto"/>
        </w:rPr>
        <w:t>2010</w:t>
      </w:r>
      <w:r w:rsidR="00325B08" w:rsidRPr="00577C42">
        <w:rPr>
          <w:color w:val="auto"/>
        </w:rPr>
        <w:t xml:space="preserve">). </w:t>
      </w:r>
      <w:r w:rsidR="00356089">
        <w:rPr>
          <w:color w:val="auto"/>
        </w:rPr>
        <w:t>However, t</w:t>
      </w:r>
      <w:r w:rsidR="001E4843" w:rsidRPr="00577C42">
        <w:rPr>
          <w:color w:val="auto"/>
        </w:rPr>
        <w:t>he role of policy entrepreneurship, and the contribution of civil society, in motivating policy shifts should not be underestimated.</w:t>
      </w:r>
    </w:p>
    <w:p w14:paraId="4F7DDCD3" w14:textId="3B344463" w:rsidR="00FA1C78" w:rsidRPr="00577C42" w:rsidRDefault="008816C2" w:rsidP="00086545">
      <w:pPr>
        <w:rPr>
          <w:color w:val="auto"/>
        </w:rPr>
      </w:pPr>
      <w:r w:rsidRPr="00577C42">
        <w:rPr>
          <w:color w:val="auto"/>
        </w:rPr>
        <w:t>Policy innovation, however, is not necessarily the most effective pathway to policy packaging, as tried and true command and control and economic incentive policies may deliver most of the impact (</w:t>
      </w:r>
      <w:proofErr w:type="spellStart"/>
      <w:r w:rsidRPr="00577C42">
        <w:rPr>
          <w:color w:val="auto"/>
        </w:rPr>
        <w:t>Hildén</w:t>
      </w:r>
      <w:proofErr w:type="spellEnd"/>
      <w:r w:rsidR="00AA1F78" w:rsidRPr="00577C42">
        <w:rPr>
          <w:color w:val="auto"/>
        </w:rPr>
        <w:t xml:space="preserve">, Jordan and Rayner </w:t>
      </w:r>
      <w:r w:rsidR="00FA1C78" w:rsidRPr="00C032D3">
        <w:rPr>
          <w:color w:val="auto"/>
        </w:rPr>
        <w:t>2014</w:t>
      </w:r>
      <w:r w:rsidRPr="00577C42">
        <w:rPr>
          <w:color w:val="auto"/>
        </w:rPr>
        <w:t xml:space="preserve">; Jordan and </w:t>
      </w:r>
      <w:proofErr w:type="spellStart"/>
      <w:r w:rsidRPr="00577C42">
        <w:rPr>
          <w:color w:val="auto"/>
        </w:rPr>
        <w:t>Huitema</w:t>
      </w:r>
      <w:proofErr w:type="spellEnd"/>
      <w:r w:rsidRPr="00577C42">
        <w:rPr>
          <w:color w:val="auto"/>
        </w:rPr>
        <w:t xml:space="preserve"> 2014</w:t>
      </w:r>
      <w:r w:rsidR="00AA1F78" w:rsidRPr="00577C42">
        <w:rPr>
          <w:color w:val="auto"/>
        </w:rPr>
        <w:t>a</w:t>
      </w:r>
      <w:r w:rsidRPr="00577C42">
        <w:rPr>
          <w:color w:val="auto"/>
        </w:rPr>
        <w:t xml:space="preserve">). Greater focus on </w:t>
      </w:r>
      <w:r w:rsidR="007E25C6" w:rsidRPr="00577C42">
        <w:rPr>
          <w:color w:val="auto"/>
        </w:rPr>
        <w:t xml:space="preserve">policy coherence, </w:t>
      </w:r>
      <w:r w:rsidR="008F35F2">
        <w:rPr>
          <w:color w:val="auto"/>
        </w:rPr>
        <w:t xml:space="preserve">successful </w:t>
      </w:r>
      <w:r w:rsidRPr="00577C42">
        <w:rPr>
          <w:color w:val="auto"/>
        </w:rPr>
        <w:t xml:space="preserve">implementation and compliance may prove that traditional policy approaches still work effectively. Innovative policies may bring new implementation and compliance challenges which existing institutions are not </w:t>
      </w:r>
      <w:r w:rsidR="00FA1C78" w:rsidRPr="00C032D3">
        <w:rPr>
          <w:color w:val="auto"/>
        </w:rPr>
        <w:t>well</w:t>
      </w:r>
      <w:r w:rsidR="00934807" w:rsidRPr="00577C42">
        <w:rPr>
          <w:color w:val="auto"/>
        </w:rPr>
        <w:t xml:space="preserve"> </w:t>
      </w:r>
      <w:r w:rsidRPr="00577C42">
        <w:rPr>
          <w:color w:val="auto"/>
        </w:rPr>
        <w:t>equipped to handle.</w:t>
      </w:r>
    </w:p>
    <w:p w14:paraId="54D1A698" w14:textId="77777777" w:rsidR="00FA1C78" w:rsidRPr="00577C42" w:rsidRDefault="008816C2" w:rsidP="00B04299">
      <w:pPr>
        <w:pStyle w:val="Heading3"/>
      </w:pPr>
      <w:bookmarkStart w:id="57" w:name="_jskzpfbf5r6s" w:colFirst="0" w:colLast="0"/>
      <w:bookmarkStart w:id="58" w:name="_Toc511747973"/>
      <w:bookmarkEnd w:id="57"/>
      <w:r w:rsidRPr="00577C42">
        <w:t>Policy effectiveness through improved design</w:t>
      </w:r>
      <w:bookmarkEnd w:id="58"/>
    </w:p>
    <w:p w14:paraId="45BA3278" w14:textId="1CF922F1" w:rsidR="00FA1C78" w:rsidRPr="00577C42" w:rsidRDefault="008816C2" w:rsidP="00086545">
      <w:pPr>
        <w:rPr>
          <w:color w:val="auto"/>
        </w:rPr>
      </w:pPr>
      <w:r w:rsidRPr="00577C42">
        <w:rPr>
          <w:color w:val="auto"/>
        </w:rPr>
        <w:t>In the past, attempts to measure policy effectiveness assumed there was a one-to-one correlation between an environmental policy and its outcomes</w:t>
      </w:r>
      <w:r w:rsidR="002C553A" w:rsidRPr="00577C42">
        <w:rPr>
          <w:color w:val="auto"/>
        </w:rPr>
        <w:t xml:space="preserve"> (</w:t>
      </w:r>
      <w:r w:rsidR="0054696D" w:rsidRPr="00577C42">
        <w:rPr>
          <w:color w:val="auto"/>
        </w:rPr>
        <w:t xml:space="preserve">Weber, Driessen and </w:t>
      </w:r>
      <w:proofErr w:type="spellStart"/>
      <w:r w:rsidR="0054696D" w:rsidRPr="00577C42">
        <w:rPr>
          <w:color w:val="auto"/>
        </w:rPr>
        <w:t>Runhaar</w:t>
      </w:r>
      <w:proofErr w:type="spellEnd"/>
      <w:r w:rsidR="0054696D" w:rsidRPr="00577C42">
        <w:rPr>
          <w:color w:val="auto"/>
        </w:rPr>
        <w:t xml:space="preserve"> </w:t>
      </w:r>
      <w:r w:rsidR="00FA1C78" w:rsidRPr="00C032D3">
        <w:rPr>
          <w:color w:val="auto"/>
        </w:rPr>
        <w:t>2013</w:t>
      </w:r>
      <w:r w:rsidR="0054696D" w:rsidRPr="00577C42">
        <w:rPr>
          <w:color w:val="auto"/>
        </w:rPr>
        <w:t>)</w:t>
      </w:r>
      <w:r w:rsidR="00CB2DF9" w:rsidRPr="00577C42">
        <w:rPr>
          <w:color w:val="auto"/>
        </w:rPr>
        <w:t>.</w:t>
      </w:r>
      <w:r w:rsidRPr="00577C42">
        <w:rPr>
          <w:color w:val="auto"/>
        </w:rPr>
        <w:t xml:space="preserve"> In some cases, this may be warranted, such as a government command and control policy to remove lead from petrol or from paint (see the subsequent discussion of policy</w:t>
      </w:r>
      <w:r w:rsidR="00934807" w:rsidRPr="00577C42">
        <w:rPr>
          <w:color w:val="auto"/>
        </w:rPr>
        <w:t>-</w:t>
      </w:r>
      <w:r w:rsidRPr="00577C42">
        <w:rPr>
          <w:color w:val="auto"/>
        </w:rPr>
        <w:t>sensitive indicators). However, in most of the case studies</w:t>
      </w:r>
      <w:r w:rsidR="00167146" w:rsidRPr="00577C42">
        <w:rPr>
          <w:color w:val="auto"/>
        </w:rPr>
        <w:t xml:space="preserve"> in </w:t>
      </w:r>
      <w:r w:rsidR="00F17CCC">
        <w:rPr>
          <w:color w:val="auto"/>
        </w:rPr>
        <w:t>Chapters 12-17</w:t>
      </w:r>
      <w:r w:rsidRPr="00577C42">
        <w:rPr>
          <w:color w:val="auto"/>
        </w:rPr>
        <w:t>, attributing environmental outcomes to specific policies is shown to be challenging</w:t>
      </w:r>
      <w:r w:rsidR="004E3597" w:rsidRPr="00577C42">
        <w:rPr>
          <w:color w:val="auto"/>
        </w:rPr>
        <w:t>. C</w:t>
      </w:r>
      <w:r w:rsidRPr="00577C42">
        <w:rPr>
          <w:color w:val="auto"/>
        </w:rPr>
        <w:t>ounterfactual</w:t>
      </w:r>
      <w:r w:rsidR="000D4023">
        <w:rPr>
          <w:color w:val="auto"/>
        </w:rPr>
        <w:t xml:space="preserve"> </w:t>
      </w:r>
      <w:r w:rsidR="00F47641">
        <w:rPr>
          <w:color w:val="auto"/>
        </w:rPr>
        <w:t xml:space="preserve">scenarios </w:t>
      </w:r>
      <w:r w:rsidR="000D4023">
        <w:rPr>
          <w:color w:val="auto"/>
        </w:rPr>
        <w:t>(i.e. without policy)</w:t>
      </w:r>
      <w:r w:rsidRPr="00577C42">
        <w:rPr>
          <w:color w:val="auto"/>
        </w:rPr>
        <w:t xml:space="preserve"> cannot be implemented experimentally, for</w:t>
      </w:r>
      <w:r w:rsidR="000D4023">
        <w:rPr>
          <w:color w:val="auto"/>
        </w:rPr>
        <w:t xml:space="preserve"> practical and</w:t>
      </w:r>
      <w:r w:rsidRPr="00577C42">
        <w:rPr>
          <w:color w:val="auto"/>
        </w:rPr>
        <w:t xml:space="preserve"> ethical reasons among others</w:t>
      </w:r>
      <w:r w:rsidR="004E3597" w:rsidRPr="00577C42">
        <w:rPr>
          <w:color w:val="auto"/>
        </w:rPr>
        <w:t xml:space="preserve">, as it is not justifiable to </w:t>
      </w:r>
      <w:r w:rsidR="00FA1C78" w:rsidRPr="00C032D3">
        <w:rPr>
          <w:color w:val="auto"/>
        </w:rPr>
        <w:t>expose</w:t>
      </w:r>
      <w:r w:rsidR="004E3597" w:rsidRPr="00577C42">
        <w:rPr>
          <w:color w:val="auto"/>
        </w:rPr>
        <w:t xml:space="preserve"> one group to a policy against </w:t>
      </w:r>
      <w:r w:rsidR="00934807" w:rsidRPr="00577C42">
        <w:rPr>
          <w:color w:val="auto"/>
        </w:rPr>
        <w:t xml:space="preserve">a </w:t>
      </w:r>
      <w:r w:rsidR="004E3597" w:rsidRPr="00577C42">
        <w:rPr>
          <w:color w:val="auto"/>
        </w:rPr>
        <w:t xml:space="preserve">harmful pollutant and </w:t>
      </w:r>
      <w:r w:rsidR="000D4023">
        <w:rPr>
          <w:color w:val="auto"/>
        </w:rPr>
        <w:t xml:space="preserve">not </w:t>
      </w:r>
      <w:r w:rsidR="004E3597" w:rsidRPr="00577C42">
        <w:rPr>
          <w:color w:val="auto"/>
        </w:rPr>
        <w:t xml:space="preserve">others </w:t>
      </w:r>
      <w:r w:rsidRPr="00577C42">
        <w:rPr>
          <w:color w:val="auto"/>
        </w:rPr>
        <w:t xml:space="preserve">(Niles and </w:t>
      </w:r>
      <w:proofErr w:type="spellStart"/>
      <w:r w:rsidRPr="00577C42">
        <w:rPr>
          <w:color w:val="auto"/>
        </w:rPr>
        <w:t>Lubell</w:t>
      </w:r>
      <w:proofErr w:type="spellEnd"/>
      <w:r w:rsidRPr="00577C42">
        <w:rPr>
          <w:color w:val="auto"/>
        </w:rPr>
        <w:t xml:space="preserve"> </w:t>
      </w:r>
      <w:r w:rsidR="00FA1C78" w:rsidRPr="00C032D3">
        <w:rPr>
          <w:color w:val="auto"/>
        </w:rPr>
        <w:t>2012</w:t>
      </w:r>
      <w:r w:rsidRPr="00577C42">
        <w:rPr>
          <w:color w:val="auto"/>
        </w:rPr>
        <w:t>).</w:t>
      </w:r>
    </w:p>
    <w:p w14:paraId="7327D479" w14:textId="2B8200CB" w:rsidR="00FA1C78" w:rsidRPr="00577C42" w:rsidRDefault="000D4023" w:rsidP="00086545">
      <w:pPr>
        <w:rPr>
          <w:color w:val="auto"/>
        </w:rPr>
      </w:pPr>
      <w:r>
        <w:rPr>
          <w:color w:val="auto"/>
        </w:rPr>
        <w:t>For these reasons e</w:t>
      </w:r>
      <w:r w:rsidR="008816C2" w:rsidRPr="00577C42">
        <w:rPr>
          <w:color w:val="auto"/>
        </w:rPr>
        <w:t>valuation of policy effectiveness</w:t>
      </w:r>
      <w:r w:rsidR="00F47641">
        <w:rPr>
          <w:color w:val="auto"/>
        </w:rPr>
        <w:t xml:space="preserve"> </w:t>
      </w:r>
      <w:r w:rsidR="008816C2" w:rsidRPr="00577C42">
        <w:rPr>
          <w:color w:val="auto"/>
        </w:rPr>
        <w:t xml:space="preserve">often comes down to </w:t>
      </w:r>
      <w:r>
        <w:rPr>
          <w:color w:val="auto"/>
        </w:rPr>
        <w:t xml:space="preserve">the use of </w:t>
      </w:r>
      <w:r w:rsidR="008816C2" w:rsidRPr="00577C42">
        <w:rPr>
          <w:color w:val="auto"/>
        </w:rPr>
        <w:t xml:space="preserve">expert </w:t>
      </w:r>
      <w:r w:rsidR="00FA1C78" w:rsidRPr="00C032D3">
        <w:rPr>
          <w:color w:val="auto"/>
        </w:rPr>
        <w:t>judg</w:t>
      </w:r>
      <w:r w:rsidR="00934807" w:rsidRPr="00C032D3">
        <w:rPr>
          <w:color w:val="auto"/>
        </w:rPr>
        <w:t>e</w:t>
      </w:r>
      <w:r w:rsidR="00FA1C78" w:rsidRPr="00C032D3">
        <w:rPr>
          <w:color w:val="auto"/>
        </w:rPr>
        <w:t>ment</w:t>
      </w:r>
      <w:r w:rsidR="008816C2" w:rsidRPr="00577C42">
        <w:rPr>
          <w:color w:val="auto"/>
        </w:rPr>
        <w:t xml:space="preserve"> </w:t>
      </w:r>
      <w:r w:rsidR="00B32CE7" w:rsidRPr="00577C42">
        <w:rPr>
          <w:color w:val="auto"/>
        </w:rPr>
        <w:t>(</w:t>
      </w:r>
      <w:r w:rsidR="00C0260E" w:rsidRPr="00577C42">
        <w:rPr>
          <w:color w:val="auto"/>
        </w:rPr>
        <w:fldChar w:fldCharType="begin"/>
      </w:r>
      <w:r w:rsidR="00C0260E" w:rsidRPr="00577C42">
        <w:rPr>
          <w:color w:val="auto"/>
        </w:rPr>
        <w:instrText xml:space="preserve"> REF _Ref525083297 \h </w:instrText>
      </w:r>
      <w:r w:rsidR="00715AD6" w:rsidRPr="00577C42">
        <w:rPr>
          <w:color w:val="auto"/>
        </w:rPr>
        <w:instrText xml:space="preserve"> \* MERGEFORMAT </w:instrText>
      </w:r>
      <w:r w:rsidR="00C0260E" w:rsidRPr="00577C42">
        <w:rPr>
          <w:color w:val="auto"/>
        </w:rPr>
      </w:r>
      <w:r w:rsidR="00C0260E" w:rsidRPr="00577C42">
        <w:rPr>
          <w:color w:val="auto"/>
        </w:rPr>
        <w:fldChar w:fldCharType="separate"/>
      </w:r>
      <w:r w:rsidR="00FA1C78" w:rsidRPr="00C032D3">
        <w:rPr>
          <w:color w:val="auto"/>
        </w:rPr>
        <w:t xml:space="preserve">Fig. </w:t>
      </w:r>
      <w:r w:rsidR="00FA1C78" w:rsidRPr="00C032D3">
        <w:rPr>
          <w:noProof/>
          <w:color w:val="auto"/>
        </w:rPr>
        <w:t>1</w:t>
      </w:r>
      <w:r w:rsidR="00C0260E" w:rsidRPr="00577C42">
        <w:rPr>
          <w:noProof/>
          <w:color w:val="auto"/>
        </w:rPr>
        <w:t>1</w:t>
      </w:r>
      <w:r w:rsidR="00C0260E" w:rsidRPr="00577C42">
        <w:rPr>
          <w:color w:val="auto"/>
        </w:rPr>
        <w:t>.</w:t>
      </w:r>
      <w:r w:rsidR="00C0260E" w:rsidRPr="00577C42">
        <w:rPr>
          <w:noProof/>
          <w:color w:val="auto"/>
        </w:rPr>
        <w:t>3</w:t>
      </w:r>
      <w:r w:rsidR="00C0260E" w:rsidRPr="00577C42">
        <w:rPr>
          <w:color w:val="auto"/>
        </w:rPr>
        <w:fldChar w:fldCharType="end"/>
      </w:r>
      <w:r w:rsidR="00B32CE7" w:rsidRPr="00577C42">
        <w:rPr>
          <w:color w:val="auto"/>
        </w:rPr>
        <w:t xml:space="preserve">) </w:t>
      </w:r>
      <w:r w:rsidR="008816C2" w:rsidRPr="00577C42">
        <w:rPr>
          <w:color w:val="auto"/>
        </w:rPr>
        <w:t>(</w:t>
      </w:r>
      <w:r w:rsidR="00AA1F78" w:rsidRPr="00577C42">
        <w:rPr>
          <w:color w:val="auto"/>
        </w:rPr>
        <w:t>EEA</w:t>
      </w:r>
      <w:r w:rsidR="00AA5321" w:rsidRPr="00577C42">
        <w:rPr>
          <w:color w:val="auto"/>
        </w:rPr>
        <w:t xml:space="preserve"> </w:t>
      </w:r>
      <w:r w:rsidR="00FA1C78" w:rsidRPr="00C032D3">
        <w:rPr>
          <w:color w:val="auto"/>
        </w:rPr>
        <w:t>2001</w:t>
      </w:r>
      <w:r w:rsidR="008816C2" w:rsidRPr="00577C42">
        <w:rPr>
          <w:color w:val="auto"/>
        </w:rPr>
        <w:t xml:space="preserve">; </w:t>
      </w:r>
      <w:r w:rsidR="00A259EF">
        <w:rPr>
          <w:color w:val="auto"/>
        </w:rPr>
        <w:t xml:space="preserve">Egger </w:t>
      </w:r>
      <w:r w:rsidR="00A259EF" w:rsidRPr="00210EEC">
        <w:rPr>
          <w:i/>
          <w:color w:val="auto"/>
        </w:rPr>
        <w:t>et al.</w:t>
      </w:r>
      <w:r w:rsidR="00A259EF">
        <w:rPr>
          <w:color w:val="auto"/>
        </w:rPr>
        <w:t xml:space="preserve"> </w:t>
      </w:r>
      <w:r w:rsidR="00FA1C78" w:rsidRPr="00C032D3">
        <w:rPr>
          <w:color w:val="auto"/>
        </w:rPr>
        <w:t>2015</w:t>
      </w:r>
      <w:r w:rsidR="008816C2" w:rsidRPr="00577C42">
        <w:rPr>
          <w:color w:val="auto"/>
        </w:rPr>
        <w:t xml:space="preserve">). </w:t>
      </w:r>
      <w:r>
        <w:rPr>
          <w:color w:val="auto"/>
        </w:rPr>
        <w:fldChar w:fldCharType="begin"/>
      </w:r>
      <w:r>
        <w:rPr>
          <w:color w:val="auto"/>
        </w:rPr>
        <w:instrText xml:space="preserve"> REF _Ref525083297 \h </w:instrText>
      </w:r>
      <w:r>
        <w:rPr>
          <w:color w:val="auto"/>
        </w:rPr>
      </w:r>
      <w:r>
        <w:rPr>
          <w:color w:val="auto"/>
        </w:rPr>
        <w:fldChar w:fldCharType="separate"/>
      </w:r>
      <w:r w:rsidRPr="00B04299">
        <w:t>Figure 11.3</w:t>
      </w:r>
      <w:r>
        <w:rPr>
          <w:color w:val="auto"/>
        </w:rPr>
        <w:fldChar w:fldCharType="end"/>
      </w:r>
      <w:r w:rsidR="00EE00DC" w:rsidRPr="00577C42">
        <w:rPr>
          <w:color w:val="auto"/>
        </w:rPr>
        <w:t xml:space="preserve"> shows that not all energy efficiency policies are ranked equally</w:t>
      </w:r>
      <w:r w:rsidR="00934807" w:rsidRPr="00577C42">
        <w:rPr>
          <w:color w:val="auto"/>
        </w:rPr>
        <w:t>,</w:t>
      </w:r>
      <w:r w:rsidR="00EE00DC" w:rsidRPr="00577C42">
        <w:rPr>
          <w:color w:val="auto"/>
        </w:rPr>
        <w:t xml:space="preserve"> and a significant proportion of experts believe some policies are not effective at all. </w:t>
      </w:r>
      <w:r w:rsidR="008816C2" w:rsidRPr="00577C42">
        <w:rPr>
          <w:color w:val="auto"/>
        </w:rPr>
        <w:t xml:space="preserve">Although there are </w:t>
      </w:r>
      <w:r>
        <w:rPr>
          <w:color w:val="auto"/>
        </w:rPr>
        <w:t>some</w:t>
      </w:r>
      <w:r w:rsidRPr="00577C42">
        <w:rPr>
          <w:color w:val="auto"/>
        </w:rPr>
        <w:t xml:space="preserve"> </w:t>
      </w:r>
      <w:r w:rsidR="008816C2" w:rsidRPr="00577C42">
        <w:rPr>
          <w:color w:val="auto"/>
        </w:rPr>
        <w:t>limitations to measur</w:t>
      </w:r>
      <w:r>
        <w:rPr>
          <w:color w:val="auto"/>
        </w:rPr>
        <w:t>ing</w:t>
      </w:r>
      <w:r w:rsidR="008816C2" w:rsidRPr="00577C42">
        <w:rPr>
          <w:color w:val="auto"/>
        </w:rPr>
        <w:t xml:space="preserve"> policy effectiveness, some important insights have emerged</w:t>
      </w:r>
      <w:r>
        <w:rPr>
          <w:color w:val="auto"/>
        </w:rPr>
        <w:t>,</w:t>
      </w:r>
      <w:r w:rsidR="008816C2" w:rsidRPr="00577C42">
        <w:rPr>
          <w:color w:val="auto"/>
        </w:rPr>
        <w:t xml:space="preserve"> not only from the use of statistical procedures to separate the effects of individual variables but also from the application of alternative techniques, such as Qualitative Comparative Analysis (QCA), designed to identify combinations of factors that operate </w:t>
      </w:r>
      <w:r w:rsidR="00FA1C78" w:rsidRPr="00577C42">
        <w:rPr>
          <w:color w:val="auto"/>
        </w:rPr>
        <w:t>together</w:t>
      </w:r>
      <w:r w:rsidR="00934807" w:rsidRPr="00577C42">
        <w:rPr>
          <w:color w:val="auto"/>
        </w:rPr>
        <w:t>,</w:t>
      </w:r>
      <w:r w:rsidR="008816C2" w:rsidRPr="00577C42">
        <w:rPr>
          <w:color w:val="auto"/>
        </w:rPr>
        <w:t xml:space="preserve"> to determine the effectiveness of </w:t>
      </w:r>
      <w:r>
        <w:rPr>
          <w:color w:val="auto"/>
        </w:rPr>
        <w:t>policies</w:t>
      </w:r>
      <w:r w:rsidRPr="00577C42">
        <w:rPr>
          <w:color w:val="auto"/>
        </w:rPr>
        <w:t xml:space="preserve"> </w:t>
      </w:r>
      <w:r w:rsidR="008816C2" w:rsidRPr="00577C42">
        <w:rPr>
          <w:color w:val="auto"/>
        </w:rPr>
        <w:t>(</w:t>
      </w:r>
      <w:proofErr w:type="spellStart"/>
      <w:r w:rsidR="008816C2" w:rsidRPr="00577C42">
        <w:rPr>
          <w:color w:val="auto"/>
        </w:rPr>
        <w:t>Breitmeier</w:t>
      </w:r>
      <w:proofErr w:type="spellEnd"/>
      <w:r w:rsidR="008816C2" w:rsidRPr="00577C42">
        <w:rPr>
          <w:color w:val="auto"/>
        </w:rPr>
        <w:t xml:space="preserve">, </w:t>
      </w:r>
      <w:proofErr w:type="spellStart"/>
      <w:r w:rsidR="008816C2" w:rsidRPr="00577C42">
        <w:rPr>
          <w:color w:val="auto"/>
        </w:rPr>
        <w:t>Underdal</w:t>
      </w:r>
      <w:proofErr w:type="spellEnd"/>
      <w:r w:rsidR="008816C2" w:rsidRPr="00577C42">
        <w:rPr>
          <w:color w:val="auto"/>
        </w:rPr>
        <w:t xml:space="preserve"> and Young </w:t>
      </w:r>
      <w:r w:rsidR="00FA1C78" w:rsidRPr="00C032D3">
        <w:rPr>
          <w:color w:val="auto"/>
        </w:rPr>
        <w:t>2011</w:t>
      </w:r>
      <w:r w:rsidR="008816C2" w:rsidRPr="00577C42">
        <w:rPr>
          <w:color w:val="auto"/>
        </w:rPr>
        <w:t>).</w:t>
      </w:r>
      <w:r w:rsidR="007E25C6" w:rsidRPr="00577C42">
        <w:rPr>
          <w:color w:val="auto"/>
        </w:rPr>
        <w:t xml:space="preserve"> Ideally, a combination of quantitative and qualitative assessments will be most reliable in assessing policy effectiveness (</w:t>
      </w:r>
      <w:r w:rsidR="00A47AFC">
        <w:rPr>
          <w:color w:val="auto"/>
        </w:rPr>
        <w:t xml:space="preserve">Egger </w:t>
      </w:r>
      <w:r w:rsidR="00A47AFC" w:rsidRPr="00C45B0C">
        <w:rPr>
          <w:i/>
          <w:color w:val="auto"/>
        </w:rPr>
        <w:t>et al.</w:t>
      </w:r>
      <w:r w:rsidR="007E25C6" w:rsidRPr="00577C42">
        <w:rPr>
          <w:color w:val="auto"/>
        </w:rPr>
        <w:t xml:space="preserve"> </w:t>
      </w:r>
      <w:r w:rsidR="00FA1C78" w:rsidRPr="00C032D3">
        <w:rPr>
          <w:color w:val="auto"/>
        </w:rPr>
        <w:t>2015</w:t>
      </w:r>
      <w:r w:rsidR="007E25C6" w:rsidRPr="00577C42">
        <w:rPr>
          <w:color w:val="auto"/>
        </w:rPr>
        <w:t>).</w:t>
      </w:r>
    </w:p>
    <w:p w14:paraId="0B77E94B" w14:textId="77777777" w:rsidR="000D4023" w:rsidRDefault="008816C2" w:rsidP="00086545">
      <w:pPr>
        <w:rPr>
          <w:color w:val="auto"/>
        </w:rPr>
      </w:pPr>
      <w:r w:rsidRPr="00577C42">
        <w:rPr>
          <w:color w:val="auto"/>
        </w:rPr>
        <w:lastRenderedPageBreak/>
        <w:t xml:space="preserve">Some policy design tools that can supplement expert </w:t>
      </w:r>
      <w:r w:rsidR="00FA1C78" w:rsidRPr="00C032D3">
        <w:rPr>
          <w:color w:val="auto"/>
        </w:rPr>
        <w:t>judg</w:t>
      </w:r>
      <w:r w:rsidR="00934807" w:rsidRPr="00C032D3">
        <w:rPr>
          <w:color w:val="auto"/>
        </w:rPr>
        <w:t>e</w:t>
      </w:r>
      <w:r w:rsidR="00FA1C78" w:rsidRPr="00C032D3">
        <w:rPr>
          <w:color w:val="auto"/>
        </w:rPr>
        <w:t>ment</w:t>
      </w:r>
      <w:r w:rsidRPr="00577C42">
        <w:rPr>
          <w:color w:val="auto"/>
        </w:rPr>
        <w:t xml:space="preserve"> are</w:t>
      </w:r>
      <w:r w:rsidR="00934807" w:rsidRPr="00577C42">
        <w:rPr>
          <w:color w:val="auto"/>
        </w:rPr>
        <w:t>:</w:t>
      </w:r>
    </w:p>
    <w:p w14:paraId="38848C39" w14:textId="4B190E18" w:rsidR="000D4023" w:rsidRDefault="008816C2" w:rsidP="000D4023">
      <w:pPr>
        <w:pStyle w:val="ListParagraph"/>
        <w:numPr>
          <w:ilvl w:val="0"/>
          <w:numId w:val="14"/>
        </w:numPr>
        <w:rPr>
          <w:color w:val="auto"/>
        </w:rPr>
      </w:pPr>
      <w:r w:rsidRPr="007C367A">
        <w:rPr>
          <w:color w:val="auto"/>
        </w:rPr>
        <w:t>cost</w:t>
      </w:r>
      <w:r w:rsidR="00934807" w:rsidRPr="007C367A">
        <w:rPr>
          <w:color w:val="auto"/>
        </w:rPr>
        <w:t>–</w:t>
      </w:r>
      <w:r w:rsidRPr="007C367A">
        <w:rPr>
          <w:color w:val="auto"/>
        </w:rPr>
        <w:t xml:space="preserve">benefit analysis and </w:t>
      </w:r>
      <w:r w:rsidR="00FA1C78" w:rsidRPr="007C367A">
        <w:rPr>
          <w:color w:val="auto"/>
        </w:rPr>
        <w:t>cost-effective</w:t>
      </w:r>
      <w:r w:rsidRPr="007C367A">
        <w:rPr>
          <w:color w:val="auto"/>
        </w:rPr>
        <w:t xml:space="preserve">ness analysis, both of which can be used </w:t>
      </w:r>
      <w:r w:rsidRPr="007C367A">
        <w:rPr>
          <w:i/>
          <w:color w:val="auto"/>
        </w:rPr>
        <w:t>ex ante</w:t>
      </w:r>
      <w:r w:rsidRPr="007C367A">
        <w:rPr>
          <w:color w:val="auto"/>
        </w:rPr>
        <w:t xml:space="preserve"> or </w:t>
      </w:r>
      <w:r w:rsidRPr="007C367A">
        <w:rPr>
          <w:i/>
          <w:color w:val="auto"/>
        </w:rPr>
        <w:t>ex post</w:t>
      </w:r>
      <w:r w:rsidRPr="007C367A">
        <w:rPr>
          <w:color w:val="auto"/>
        </w:rPr>
        <w:t xml:space="preserve"> (</w:t>
      </w:r>
      <w:proofErr w:type="spellStart"/>
      <w:r w:rsidRPr="007C367A">
        <w:rPr>
          <w:color w:val="auto"/>
        </w:rPr>
        <w:t>Interwies</w:t>
      </w:r>
      <w:proofErr w:type="spellEnd"/>
      <w:r w:rsidR="00AA5321" w:rsidRPr="007C367A">
        <w:rPr>
          <w:color w:val="auto"/>
        </w:rPr>
        <w:t xml:space="preserve">, </w:t>
      </w:r>
      <w:proofErr w:type="spellStart"/>
      <w:r w:rsidR="00AA5321" w:rsidRPr="007C367A">
        <w:rPr>
          <w:color w:val="auto"/>
        </w:rPr>
        <w:t>Gorlach</w:t>
      </w:r>
      <w:proofErr w:type="spellEnd"/>
      <w:r w:rsidR="00AA5321" w:rsidRPr="007C367A">
        <w:rPr>
          <w:color w:val="auto"/>
        </w:rPr>
        <w:t xml:space="preserve"> and Newcombe </w:t>
      </w:r>
      <w:r w:rsidR="00FA1C78" w:rsidRPr="007C367A">
        <w:rPr>
          <w:color w:val="auto"/>
        </w:rPr>
        <w:t>2007</w:t>
      </w:r>
      <w:r w:rsidRPr="007C367A">
        <w:rPr>
          <w:color w:val="auto"/>
        </w:rPr>
        <w:t>);</w:t>
      </w:r>
    </w:p>
    <w:p w14:paraId="7529D708" w14:textId="1B3E9094" w:rsidR="000D4023" w:rsidRDefault="008816C2" w:rsidP="000D4023">
      <w:pPr>
        <w:pStyle w:val="ListParagraph"/>
        <w:numPr>
          <w:ilvl w:val="0"/>
          <w:numId w:val="14"/>
        </w:numPr>
        <w:rPr>
          <w:color w:val="auto"/>
        </w:rPr>
      </w:pPr>
      <w:r w:rsidRPr="007C367A">
        <w:rPr>
          <w:color w:val="auto"/>
        </w:rPr>
        <w:t>regulatory impact analysis (</w:t>
      </w:r>
      <w:r w:rsidR="00AA5321" w:rsidRPr="007C367A">
        <w:rPr>
          <w:color w:val="auto"/>
        </w:rPr>
        <w:t>Organ</w:t>
      </w:r>
      <w:r w:rsidR="00715AD6" w:rsidRPr="007C367A">
        <w:rPr>
          <w:color w:val="auto"/>
        </w:rPr>
        <w:t>is</w:t>
      </w:r>
      <w:r w:rsidR="00FA1C78" w:rsidRPr="007C367A">
        <w:rPr>
          <w:color w:val="auto"/>
        </w:rPr>
        <w:t>a</w:t>
      </w:r>
      <w:r w:rsidR="00AA5321" w:rsidRPr="007C367A">
        <w:rPr>
          <w:color w:val="auto"/>
        </w:rPr>
        <w:t>tion for Economic Co</w:t>
      </w:r>
      <w:r w:rsidR="00934807" w:rsidRPr="007C367A">
        <w:rPr>
          <w:color w:val="auto"/>
        </w:rPr>
        <w:t>-</w:t>
      </w:r>
      <w:r w:rsidR="00AA5321" w:rsidRPr="007C367A">
        <w:rPr>
          <w:color w:val="auto"/>
        </w:rPr>
        <w:t>operation and Development [</w:t>
      </w:r>
      <w:r w:rsidRPr="007C367A">
        <w:rPr>
          <w:color w:val="auto"/>
        </w:rPr>
        <w:t>OECD</w:t>
      </w:r>
      <w:r w:rsidR="00AA5321" w:rsidRPr="007C367A">
        <w:rPr>
          <w:color w:val="auto"/>
        </w:rPr>
        <w:t>]</w:t>
      </w:r>
      <w:r w:rsidRPr="007C367A">
        <w:rPr>
          <w:color w:val="auto"/>
        </w:rPr>
        <w:t xml:space="preserve"> </w:t>
      </w:r>
      <w:r w:rsidR="00FA1C78" w:rsidRPr="007C367A">
        <w:rPr>
          <w:color w:val="auto"/>
        </w:rPr>
        <w:t>2008</w:t>
      </w:r>
      <w:r w:rsidRPr="007C367A">
        <w:rPr>
          <w:color w:val="auto"/>
        </w:rPr>
        <w:t>);</w:t>
      </w:r>
    </w:p>
    <w:p w14:paraId="66B06D3F" w14:textId="4A3D39C8" w:rsidR="000D4023" w:rsidRDefault="008816C2" w:rsidP="000D4023">
      <w:pPr>
        <w:pStyle w:val="ListParagraph"/>
        <w:numPr>
          <w:ilvl w:val="0"/>
          <w:numId w:val="14"/>
        </w:numPr>
        <w:rPr>
          <w:color w:val="auto"/>
        </w:rPr>
      </w:pPr>
      <w:r w:rsidRPr="007C367A">
        <w:rPr>
          <w:color w:val="auto"/>
        </w:rPr>
        <w:t>benchmarking or distance to target (</w:t>
      </w:r>
      <w:proofErr w:type="spellStart"/>
      <w:r w:rsidRPr="007C367A">
        <w:rPr>
          <w:color w:val="auto"/>
        </w:rPr>
        <w:t>Uslu</w:t>
      </w:r>
      <w:proofErr w:type="spellEnd"/>
      <w:r w:rsidR="00AA5321" w:rsidRPr="007C367A">
        <w:rPr>
          <w:color w:val="auto"/>
        </w:rPr>
        <w:t xml:space="preserve">, </w:t>
      </w:r>
      <w:proofErr w:type="spellStart"/>
      <w:r w:rsidR="00AA5321" w:rsidRPr="007C367A">
        <w:rPr>
          <w:color w:val="auto"/>
        </w:rPr>
        <w:t>Mozzaffarian</w:t>
      </w:r>
      <w:proofErr w:type="spellEnd"/>
      <w:r w:rsidR="00AA5321" w:rsidRPr="007C367A">
        <w:rPr>
          <w:color w:val="auto"/>
        </w:rPr>
        <w:t xml:space="preserve"> and </w:t>
      </w:r>
      <w:proofErr w:type="spellStart"/>
      <w:r w:rsidR="00AA5321" w:rsidRPr="007C367A">
        <w:rPr>
          <w:color w:val="auto"/>
        </w:rPr>
        <w:t>Stralen</w:t>
      </w:r>
      <w:proofErr w:type="spellEnd"/>
      <w:r w:rsidR="00AA5321" w:rsidRPr="007C367A">
        <w:rPr>
          <w:color w:val="auto"/>
        </w:rPr>
        <w:t xml:space="preserve"> </w:t>
      </w:r>
      <w:r w:rsidR="00FA1C78" w:rsidRPr="007C367A">
        <w:rPr>
          <w:color w:val="auto"/>
        </w:rPr>
        <w:t>2016</w:t>
      </w:r>
      <w:r w:rsidRPr="007C367A">
        <w:rPr>
          <w:color w:val="auto"/>
        </w:rPr>
        <w:t xml:space="preserve">); and </w:t>
      </w:r>
    </w:p>
    <w:p w14:paraId="19FA3A1E" w14:textId="29DE9A74" w:rsidR="00FA1C78" w:rsidRPr="007C367A" w:rsidRDefault="008816C2" w:rsidP="007C367A">
      <w:pPr>
        <w:pStyle w:val="ListParagraph"/>
        <w:numPr>
          <w:ilvl w:val="0"/>
          <w:numId w:val="14"/>
        </w:numPr>
        <w:rPr>
          <w:color w:val="auto"/>
        </w:rPr>
      </w:pPr>
      <w:r w:rsidRPr="007C367A">
        <w:rPr>
          <w:color w:val="auto"/>
        </w:rPr>
        <w:t xml:space="preserve">content analysis or pattern matching (Di Gregorio </w:t>
      </w:r>
      <w:r w:rsidRPr="007C367A">
        <w:rPr>
          <w:i/>
          <w:color w:val="auto"/>
        </w:rPr>
        <w:t>et al.</w:t>
      </w:r>
      <w:r w:rsidRPr="007C367A">
        <w:rPr>
          <w:color w:val="auto"/>
        </w:rPr>
        <w:t xml:space="preserve"> </w:t>
      </w:r>
      <w:r w:rsidR="00FA1C78" w:rsidRPr="007C367A">
        <w:rPr>
          <w:color w:val="auto"/>
        </w:rPr>
        <w:t>2017</w:t>
      </w:r>
      <w:r w:rsidRPr="007C367A">
        <w:rPr>
          <w:color w:val="auto"/>
        </w:rPr>
        <w:t>).</w:t>
      </w:r>
    </w:p>
    <w:p w14:paraId="20E27E86" w14:textId="6CF6054D" w:rsidR="00FA1C78" w:rsidRPr="00577C42" w:rsidRDefault="00B756C6" w:rsidP="00086545">
      <w:pPr>
        <w:rPr>
          <w:color w:val="auto"/>
        </w:rPr>
      </w:pPr>
      <w:r>
        <w:rPr>
          <w:noProof/>
        </w:rPr>
        <w:drawing>
          <wp:inline distT="0" distB="0" distL="0" distR="0" wp14:anchorId="3536503D" wp14:editId="59282BFF">
            <wp:extent cx="5674995" cy="34480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4995" cy="3448050"/>
                    </a:xfrm>
                    <a:prstGeom prst="rect">
                      <a:avLst/>
                    </a:prstGeom>
                  </pic:spPr>
                </pic:pic>
              </a:graphicData>
            </a:graphic>
          </wp:inline>
        </w:drawing>
      </w:r>
      <w:bookmarkStart w:id="59" w:name="_GoBack"/>
      <w:bookmarkEnd w:id="59"/>
    </w:p>
    <w:p w14:paraId="038F3EE0" w14:textId="2CB72B42" w:rsidR="00FA1C78" w:rsidRPr="00B04299" w:rsidRDefault="006C01EF" w:rsidP="00B04299">
      <w:pPr>
        <w:pStyle w:val="Caption"/>
      </w:pPr>
      <w:bookmarkStart w:id="60" w:name="_3dy6vkm" w:colFirst="0" w:colLast="0"/>
      <w:bookmarkStart w:id="61" w:name="_Ref525083297"/>
      <w:bookmarkEnd w:id="60"/>
      <w:r w:rsidRPr="00B04299">
        <w:t xml:space="preserve">Figure </w:t>
      </w:r>
      <w:fldSimple w:instr=" STYLEREF 1 \s ">
        <w:r w:rsidRPr="00B04299">
          <w:t>11</w:t>
        </w:r>
      </w:fldSimple>
      <w:r w:rsidRPr="00B04299">
        <w:t>.</w:t>
      </w:r>
      <w:fldSimple w:instr=" SEQ Figure \* ARABIC \s 1 ">
        <w:r w:rsidRPr="00B04299">
          <w:t>3</w:t>
        </w:r>
      </w:fldSimple>
      <w:bookmarkEnd w:id="61"/>
      <w:r w:rsidRPr="00B04299">
        <w:t xml:space="preserve">: Results of </w:t>
      </w:r>
      <w:r w:rsidR="00934807" w:rsidRPr="00B04299">
        <w:t>e</w:t>
      </w:r>
      <w:r w:rsidRPr="00B04299">
        <w:t xml:space="preserve">xpert </w:t>
      </w:r>
      <w:r w:rsidR="00934807" w:rsidRPr="00B04299">
        <w:t>p</w:t>
      </w:r>
      <w:r w:rsidRPr="00B04299">
        <w:t xml:space="preserve">erspectives on European </w:t>
      </w:r>
      <w:r w:rsidR="00934807" w:rsidRPr="00B04299">
        <w:t>e</w:t>
      </w:r>
      <w:r w:rsidRPr="00B04299">
        <w:t xml:space="preserve">nergy </w:t>
      </w:r>
      <w:r w:rsidR="00934807" w:rsidRPr="00B04299">
        <w:t>e</w:t>
      </w:r>
      <w:r w:rsidRPr="00B04299">
        <w:t xml:space="preserve">fficiency </w:t>
      </w:r>
      <w:r w:rsidR="00934807" w:rsidRPr="00B04299">
        <w:t>p</w:t>
      </w:r>
      <w:r w:rsidRPr="00B04299">
        <w:t>olicies</w:t>
      </w:r>
    </w:p>
    <w:p w14:paraId="2EFA8859" w14:textId="20F2B701" w:rsidR="00FA1C78" w:rsidRPr="00B04299" w:rsidRDefault="00FA1C78" w:rsidP="00B04299">
      <w:pPr>
        <w:pStyle w:val="Caption"/>
      </w:pPr>
      <w:r w:rsidRPr="00B04299">
        <w:rPr>
          <w:i/>
        </w:rPr>
        <w:t>Source:</w:t>
      </w:r>
      <w:r w:rsidR="008816C2" w:rsidRPr="00B04299">
        <w:t xml:space="preserve"> </w:t>
      </w:r>
      <w:r w:rsidR="00A47AFC">
        <w:rPr>
          <w:color w:val="auto"/>
        </w:rPr>
        <w:t xml:space="preserve">Egger </w:t>
      </w:r>
      <w:r w:rsidR="00A47AFC" w:rsidRPr="00C45B0C">
        <w:rPr>
          <w:i/>
          <w:color w:val="auto"/>
        </w:rPr>
        <w:t>et al.</w:t>
      </w:r>
      <w:r w:rsidR="008816C2" w:rsidRPr="00B04299">
        <w:t xml:space="preserve"> (</w:t>
      </w:r>
      <w:r w:rsidRPr="00B04299">
        <w:t>2015</w:t>
      </w:r>
      <w:r w:rsidR="008816C2" w:rsidRPr="00B04299">
        <w:t>)</w:t>
      </w:r>
    </w:p>
    <w:p w14:paraId="3C56B4D4" w14:textId="0DED58EE" w:rsidR="00FA1C78" w:rsidRPr="00577C42" w:rsidRDefault="0054696D" w:rsidP="00086545">
      <w:pPr>
        <w:rPr>
          <w:color w:val="auto"/>
          <w:sz w:val="20"/>
          <w:szCs w:val="20"/>
        </w:rPr>
      </w:pPr>
      <w:r w:rsidRPr="00577C42">
        <w:rPr>
          <w:color w:val="auto"/>
        </w:rPr>
        <w:t>Of course, environmental problems are essentially social constructs</w:t>
      </w:r>
      <w:r w:rsidR="00934807" w:rsidRPr="00577C42">
        <w:rPr>
          <w:color w:val="auto"/>
        </w:rPr>
        <w:t>,</w:t>
      </w:r>
      <w:r w:rsidRPr="00577C42">
        <w:rPr>
          <w:color w:val="auto"/>
        </w:rPr>
        <w:t xml:space="preserve"> and what appears as an environmental problem to one group may not </w:t>
      </w:r>
      <w:proofErr w:type="gramStart"/>
      <w:r w:rsidRPr="00577C42">
        <w:rPr>
          <w:color w:val="auto"/>
        </w:rPr>
        <w:t>be seen as</w:t>
      </w:r>
      <w:proofErr w:type="gramEnd"/>
      <w:r w:rsidRPr="00577C42">
        <w:rPr>
          <w:color w:val="auto"/>
        </w:rPr>
        <w:t xml:space="preserve"> a problem by another group with different interests.</w:t>
      </w:r>
      <w:r w:rsidR="00FA1C78" w:rsidRPr="00C032D3">
        <w:rPr>
          <w:color w:val="auto"/>
        </w:rPr>
        <w:t xml:space="preserve"> </w:t>
      </w:r>
      <w:r w:rsidR="00934807" w:rsidRPr="00577C42">
        <w:rPr>
          <w:color w:val="auto"/>
        </w:rPr>
        <w:t xml:space="preserve">Therefore, </w:t>
      </w:r>
      <w:r w:rsidRPr="00577C42">
        <w:rPr>
          <w:color w:val="auto"/>
        </w:rPr>
        <w:t>in designing effective policies</w:t>
      </w:r>
      <w:r w:rsidR="00934807" w:rsidRPr="00577C42">
        <w:rPr>
          <w:color w:val="auto"/>
        </w:rPr>
        <w:t>,</w:t>
      </w:r>
      <w:r w:rsidRPr="00577C42">
        <w:rPr>
          <w:color w:val="auto"/>
        </w:rPr>
        <w:t xml:space="preserve"> framing of the </w:t>
      </w:r>
      <w:r w:rsidR="00FA1C78" w:rsidRPr="00577C42">
        <w:rPr>
          <w:color w:val="auto"/>
        </w:rPr>
        <w:t>‘</w:t>
      </w:r>
      <w:r w:rsidRPr="00577C42">
        <w:rPr>
          <w:color w:val="auto"/>
        </w:rPr>
        <w:t>problem</w:t>
      </w:r>
      <w:r w:rsidR="00FA1C78" w:rsidRPr="00577C42">
        <w:rPr>
          <w:color w:val="auto"/>
        </w:rPr>
        <w:t>’</w:t>
      </w:r>
      <w:r w:rsidRPr="00577C42">
        <w:rPr>
          <w:color w:val="auto"/>
        </w:rPr>
        <w:t xml:space="preserve"> is extremely important.</w:t>
      </w:r>
      <w:r w:rsidR="00FA1C78" w:rsidRPr="00C032D3">
        <w:rPr>
          <w:color w:val="auto"/>
        </w:rPr>
        <w:t xml:space="preserve"> </w:t>
      </w:r>
      <w:r w:rsidRPr="00577C42">
        <w:rPr>
          <w:color w:val="auto"/>
        </w:rPr>
        <w:t xml:space="preserve">For example, framing climate change as </w:t>
      </w:r>
      <w:r w:rsidR="00934807" w:rsidRPr="00577C42">
        <w:rPr>
          <w:color w:val="auto"/>
        </w:rPr>
        <w:t xml:space="preserve">an </w:t>
      </w:r>
      <w:r w:rsidRPr="00577C42">
        <w:rPr>
          <w:color w:val="auto"/>
        </w:rPr>
        <w:t>issue involving employment and security, as exercised in Europe, may be more effective than simply discussing it as a technical or scientific issue.</w:t>
      </w:r>
      <w:r w:rsidR="00FA1C78" w:rsidRPr="00C032D3">
        <w:rPr>
          <w:color w:val="auto"/>
        </w:rPr>
        <w:t xml:space="preserve"> </w:t>
      </w:r>
      <w:r w:rsidRPr="00577C42">
        <w:rPr>
          <w:color w:val="auto"/>
        </w:rPr>
        <w:t xml:space="preserve">Changing the </w:t>
      </w:r>
      <w:r w:rsidR="00DA2DF9">
        <w:rPr>
          <w:color w:val="auto"/>
        </w:rPr>
        <w:t>approach to economic development</w:t>
      </w:r>
      <w:r w:rsidRPr="00577C42">
        <w:rPr>
          <w:color w:val="auto"/>
        </w:rPr>
        <w:t xml:space="preserve"> from </w:t>
      </w:r>
      <w:r w:rsidR="00934807" w:rsidRPr="00577C42">
        <w:rPr>
          <w:color w:val="auto"/>
        </w:rPr>
        <w:t>‘</w:t>
      </w:r>
      <w:r w:rsidRPr="00577C42">
        <w:rPr>
          <w:color w:val="auto"/>
        </w:rPr>
        <w:t>grow now, clean up later</w:t>
      </w:r>
      <w:r w:rsidR="00934807" w:rsidRPr="00577C42">
        <w:rPr>
          <w:color w:val="auto"/>
        </w:rPr>
        <w:t>’</w:t>
      </w:r>
      <w:r w:rsidRPr="00577C42">
        <w:rPr>
          <w:color w:val="auto"/>
        </w:rPr>
        <w:t xml:space="preserve"> may be an important shift in environmental policy design in several developing countries.</w:t>
      </w:r>
    </w:p>
    <w:p w14:paraId="4EC9ACE1" w14:textId="77777777" w:rsidR="00FA1C78" w:rsidRPr="00577C42" w:rsidRDefault="008816C2" w:rsidP="00B04299">
      <w:pPr>
        <w:pStyle w:val="Heading3"/>
      </w:pPr>
      <w:bookmarkStart w:id="62" w:name="_4y5tkyrxjqwo" w:colFirst="0" w:colLast="0"/>
      <w:bookmarkStart w:id="63" w:name="_Toc511747974"/>
      <w:bookmarkEnd w:id="62"/>
      <w:r w:rsidRPr="00577C42">
        <w:t>Policy mixes</w:t>
      </w:r>
      <w:bookmarkEnd w:id="63"/>
    </w:p>
    <w:p w14:paraId="51FEBB11" w14:textId="6F8C8FD8" w:rsidR="00FA1C78" w:rsidRPr="00577C42" w:rsidRDefault="006833DB" w:rsidP="00086545">
      <w:pPr>
        <w:rPr>
          <w:color w:val="auto"/>
        </w:rPr>
      </w:pPr>
      <w:r w:rsidRPr="00577C42">
        <w:rPr>
          <w:color w:val="auto"/>
        </w:rPr>
        <w:t>As indicated in Chapter 10, w</w:t>
      </w:r>
      <w:r w:rsidR="008816C2" w:rsidRPr="00577C42">
        <w:rPr>
          <w:color w:val="auto"/>
        </w:rPr>
        <w:t xml:space="preserve">ithin the environmental domain a key lesson learned is to carefully craft a mix of policies that are </w:t>
      </w:r>
      <w:r w:rsidR="00FA1C78" w:rsidRPr="00C032D3">
        <w:rPr>
          <w:color w:val="auto"/>
        </w:rPr>
        <w:t>well</w:t>
      </w:r>
      <w:r w:rsidR="008816C2" w:rsidRPr="00577C42">
        <w:rPr>
          <w:color w:val="auto"/>
        </w:rPr>
        <w:t xml:space="preserve"> aligned with the overall policy objective (OECD</w:t>
      </w:r>
      <w:r w:rsidR="00AA5321" w:rsidRPr="00577C42">
        <w:rPr>
          <w:color w:val="auto"/>
        </w:rPr>
        <w:t xml:space="preserve">, </w:t>
      </w:r>
      <w:r w:rsidR="008816C2" w:rsidRPr="00577C42">
        <w:rPr>
          <w:color w:val="auto"/>
        </w:rPr>
        <w:t>IEA</w:t>
      </w:r>
      <w:r w:rsidR="00AA5321" w:rsidRPr="00577C42">
        <w:rPr>
          <w:color w:val="auto"/>
        </w:rPr>
        <w:t>, Nuclear Energy Agency [</w:t>
      </w:r>
      <w:r w:rsidR="008816C2" w:rsidRPr="00577C42">
        <w:rPr>
          <w:color w:val="auto"/>
        </w:rPr>
        <w:t>NEA</w:t>
      </w:r>
      <w:r w:rsidR="00AA5321" w:rsidRPr="00577C42">
        <w:rPr>
          <w:color w:val="auto"/>
        </w:rPr>
        <w:t>] and International Transport Forum [</w:t>
      </w:r>
      <w:r w:rsidR="008816C2" w:rsidRPr="00577C42">
        <w:rPr>
          <w:color w:val="auto"/>
        </w:rPr>
        <w:t>ITF</w:t>
      </w:r>
      <w:r w:rsidR="00AA5321" w:rsidRPr="00577C42">
        <w:rPr>
          <w:color w:val="auto"/>
        </w:rPr>
        <w:t>]</w:t>
      </w:r>
      <w:r w:rsidR="008816C2" w:rsidRPr="00577C42">
        <w:rPr>
          <w:color w:val="auto"/>
        </w:rPr>
        <w:t xml:space="preserve"> </w:t>
      </w:r>
      <w:r w:rsidR="00FA1C78" w:rsidRPr="00C032D3">
        <w:rPr>
          <w:color w:val="auto"/>
        </w:rPr>
        <w:t>2015</w:t>
      </w:r>
      <w:r w:rsidR="008816C2" w:rsidRPr="00577C42">
        <w:rPr>
          <w:color w:val="auto"/>
        </w:rPr>
        <w:t xml:space="preserve">) and then monitor the actual effects to determine best </w:t>
      </w:r>
      <w:r w:rsidR="00FA1C78" w:rsidRPr="00C032D3">
        <w:rPr>
          <w:color w:val="auto"/>
        </w:rPr>
        <w:t>practice</w:t>
      </w:r>
      <w:r w:rsidR="008816C2" w:rsidRPr="00577C42">
        <w:rPr>
          <w:color w:val="auto"/>
        </w:rPr>
        <w:t xml:space="preserve">. For example, climate change mitigation policy objectives will need a comprehensive mix of carbon </w:t>
      </w:r>
      <w:r w:rsidR="008816C2" w:rsidRPr="00577C42">
        <w:rPr>
          <w:color w:val="auto"/>
        </w:rPr>
        <w:lastRenderedPageBreak/>
        <w:t>pricing, support for energy efficiency and renewable energy, phasing out fossil fuel subsidies, innovation policies, preventing locked-in technol</w:t>
      </w:r>
      <w:r w:rsidR="00FA1C78" w:rsidRPr="00577C42">
        <w:rPr>
          <w:color w:val="auto"/>
        </w:rPr>
        <w:t>ogy</w:t>
      </w:r>
      <w:r w:rsidR="008816C2" w:rsidRPr="00577C42">
        <w:rPr>
          <w:color w:val="auto"/>
        </w:rPr>
        <w:t xml:space="preserve">, and changes in consumer behaviour, among others (Hood </w:t>
      </w:r>
      <w:r w:rsidR="00FA1C78" w:rsidRPr="00C032D3">
        <w:rPr>
          <w:color w:val="auto"/>
        </w:rPr>
        <w:t>2011</w:t>
      </w:r>
      <w:r w:rsidR="008816C2" w:rsidRPr="00577C42">
        <w:rPr>
          <w:color w:val="auto"/>
        </w:rPr>
        <w:t>).</w:t>
      </w:r>
      <w:r w:rsidR="00FA1C78" w:rsidRPr="00C032D3">
        <w:rPr>
          <w:color w:val="auto"/>
        </w:rPr>
        <w:t xml:space="preserve"> </w:t>
      </w:r>
      <w:r w:rsidR="008816C2" w:rsidRPr="00577C42">
        <w:rPr>
          <w:color w:val="auto"/>
        </w:rPr>
        <w:t xml:space="preserve">Too often policies are not </w:t>
      </w:r>
      <w:r w:rsidR="00FA1C78" w:rsidRPr="00C032D3">
        <w:rPr>
          <w:color w:val="auto"/>
        </w:rPr>
        <w:t>well</w:t>
      </w:r>
      <w:r w:rsidR="008816C2" w:rsidRPr="00577C42">
        <w:rPr>
          <w:color w:val="auto"/>
        </w:rPr>
        <w:t xml:space="preserve"> aligned and may even be in conflict, so solving misalignment and ensuring that policies are mutually reinforcing may be one of the best ways of achieving environmental improvement (OECD</w:t>
      </w:r>
      <w:r w:rsidR="002F303E">
        <w:rPr>
          <w:color w:val="auto"/>
        </w:rPr>
        <w:t xml:space="preserve"> </w:t>
      </w:r>
      <w:r w:rsidR="002F303E" w:rsidRPr="00210EEC">
        <w:rPr>
          <w:i/>
          <w:color w:val="auto"/>
        </w:rPr>
        <w:t>et al.</w:t>
      </w:r>
      <w:r w:rsidR="008816C2" w:rsidRPr="00577C42">
        <w:rPr>
          <w:color w:val="auto"/>
        </w:rPr>
        <w:t xml:space="preserve"> </w:t>
      </w:r>
      <w:r w:rsidR="00FA1C78" w:rsidRPr="00C032D3">
        <w:rPr>
          <w:color w:val="auto"/>
        </w:rPr>
        <w:t>2015</w:t>
      </w:r>
      <w:r w:rsidR="008816C2" w:rsidRPr="00577C42">
        <w:rPr>
          <w:color w:val="auto"/>
        </w:rPr>
        <w:t>).</w:t>
      </w:r>
    </w:p>
    <w:p w14:paraId="4552AE11" w14:textId="77777777" w:rsidR="005A40E8" w:rsidRDefault="008816C2" w:rsidP="00086545">
      <w:pPr>
        <w:rPr>
          <w:color w:val="auto"/>
        </w:rPr>
      </w:pPr>
      <w:r w:rsidRPr="00577C42">
        <w:rPr>
          <w:color w:val="auto"/>
        </w:rPr>
        <w:t xml:space="preserve">Policy analysis literature increasingly </w:t>
      </w:r>
      <w:r w:rsidRPr="00C032D3">
        <w:rPr>
          <w:color w:val="auto"/>
        </w:rPr>
        <w:t>rec</w:t>
      </w:r>
      <w:r w:rsidR="00FA1C78" w:rsidRPr="00C032D3">
        <w:rPr>
          <w:color w:val="auto"/>
        </w:rPr>
        <w:t>o</w:t>
      </w:r>
      <w:r w:rsidR="00FA1C78" w:rsidRPr="00577C42">
        <w:rPr>
          <w:color w:val="auto"/>
        </w:rPr>
        <w:t>gn</w:t>
      </w:r>
      <w:r w:rsidR="00FA1C78" w:rsidRPr="00C032D3">
        <w:rPr>
          <w:color w:val="auto"/>
        </w:rPr>
        <w:t>ize</w:t>
      </w:r>
      <w:r w:rsidRPr="00C032D3">
        <w:rPr>
          <w:color w:val="auto"/>
        </w:rPr>
        <w:t>s</w:t>
      </w:r>
      <w:r w:rsidRPr="00577C42">
        <w:rPr>
          <w:color w:val="auto"/>
        </w:rPr>
        <w:t xml:space="preserve"> the need to view policies not in isolation but to consider each policy in </w:t>
      </w:r>
      <w:r w:rsidR="00934807" w:rsidRPr="00577C42">
        <w:rPr>
          <w:color w:val="auto"/>
        </w:rPr>
        <w:t xml:space="preserve">its </w:t>
      </w:r>
      <w:r w:rsidRPr="00577C42">
        <w:rPr>
          <w:color w:val="auto"/>
        </w:rPr>
        <w:t xml:space="preserve">wider context among a mix of other policies. Policy mixes are generally thought of in relation to specific policy fields </w:t>
      </w:r>
      <w:r w:rsidR="00FA1C78" w:rsidRPr="00577C42">
        <w:rPr>
          <w:color w:val="auto"/>
        </w:rPr>
        <w:t>(</w:t>
      </w:r>
      <w:r w:rsidR="00FA1C78" w:rsidRPr="00C032D3">
        <w:rPr>
          <w:color w:val="auto"/>
        </w:rPr>
        <w:t>e.g.</w:t>
      </w:r>
      <w:r w:rsidRPr="00577C42">
        <w:rPr>
          <w:color w:val="auto"/>
        </w:rPr>
        <w:t xml:space="preserve"> the renewable energy policy mix). Their quality is traditionally assessed in qualitative terms and draws on a set of concepts, such as</w:t>
      </w:r>
    </w:p>
    <w:p w14:paraId="3D96874D" w14:textId="7BD9DEBC" w:rsidR="005A40E8" w:rsidRDefault="008816C2" w:rsidP="005A40E8">
      <w:pPr>
        <w:pStyle w:val="ListParagraph"/>
        <w:numPr>
          <w:ilvl w:val="0"/>
          <w:numId w:val="16"/>
        </w:numPr>
        <w:rPr>
          <w:color w:val="auto"/>
        </w:rPr>
      </w:pPr>
      <w:r w:rsidRPr="007C367A">
        <w:rPr>
          <w:color w:val="auto"/>
        </w:rPr>
        <w:t>consistency of multiple policy instruments (i.e. instruments</w:t>
      </w:r>
      <w:r w:rsidR="00FA1C78" w:rsidRPr="007C367A">
        <w:rPr>
          <w:color w:val="auto"/>
        </w:rPr>
        <w:t>’</w:t>
      </w:r>
      <w:r w:rsidRPr="007C367A">
        <w:rPr>
          <w:color w:val="auto"/>
        </w:rPr>
        <w:t xml:space="preserve"> ability to reinforce rather than undermine each other), </w:t>
      </w:r>
    </w:p>
    <w:p w14:paraId="44A3D51E" w14:textId="77777777" w:rsidR="005A40E8" w:rsidRDefault="008816C2" w:rsidP="005A40E8">
      <w:pPr>
        <w:pStyle w:val="ListParagraph"/>
        <w:numPr>
          <w:ilvl w:val="0"/>
          <w:numId w:val="16"/>
        </w:numPr>
        <w:rPr>
          <w:color w:val="auto"/>
        </w:rPr>
      </w:pPr>
      <w:r w:rsidRPr="007C367A">
        <w:rPr>
          <w:color w:val="auto"/>
        </w:rPr>
        <w:t>coherence of multiple policy goals (i.e. goals not contradicting each other) and</w:t>
      </w:r>
    </w:p>
    <w:p w14:paraId="333F37C2" w14:textId="7042C8E8" w:rsidR="00FA1C78" w:rsidRPr="007C367A" w:rsidRDefault="008816C2" w:rsidP="007C367A">
      <w:pPr>
        <w:pStyle w:val="ListParagraph"/>
        <w:numPr>
          <w:ilvl w:val="0"/>
          <w:numId w:val="16"/>
        </w:numPr>
        <w:rPr>
          <w:color w:val="auto"/>
        </w:rPr>
      </w:pPr>
      <w:r w:rsidRPr="007C367A">
        <w:rPr>
          <w:color w:val="auto"/>
        </w:rPr>
        <w:t xml:space="preserve">congruence of multiple policy goals and instruments (i.e. their ability to work </w:t>
      </w:r>
      <w:r w:rsidR="00FA1C78" w:rsidRPr="007C367A">
        <w:rPr>
          <w:color w:val="auto"/>
        </w:rPr>
        <w:t>together</w:t>
      </w:r>
      <w:r w:rsidRPr="007C367A">
        <w:rPr>
          <w:color w:val="auto"/>
        </w:rPr>
        <w:t xml:space="preserve"> in a unidirectional fashion) (Howlett and Rayner </w:t>
      </w:r>
      <w:r w:rsidR="00FA1C78" w:rsidRPr="007C367A">
        <w:rPr>
          <w:color w:val="auto"/>
        </w:rPr>
        <w:t>2013</w:t>
      </w:r>
      <w:r w:rsidRPr="007C367A">
        <w:rPr>
          <w:color w:val="auto"/>
        </w:rPr>
        <w:t>; Kern</w:t>
      </w:r>
      <w:r w:rsidR="00AA5321" w:rsidRPr="007C367A">
        <w:rPr>
          <w:color w:val="auto"/>
        </w:rPr>
        <w:t xml:space="preserve">, </w:t>
      </w:r>
      <w:proofErr w:type="spellStart"/>
      <w:r w:rsidR="00AA5321" w:rsidRPr="007C367A">
        <w:rPr>
          <w:color w:val="auto"/>
        </w:rPr>
        <w:t>Kivimaa</w:t>
      </w:r>
      <w:proofErr w:type="spellEnd"/>
      <w:r w:rsidR="00AA5321" w:rsidRPr="007C367A">
        <w:rPr>
          <w:color w:val="auto"/>
        </w:rPr>
        <w:t xml:space="preserve"> and </w:t>
      </w:r>
      <w:proofErr w:type="spellStart"/>
      <w:r w:rsidR="00AA5321" w:rsidRPr="007C367A">
        <w:rPr>
          <w:color w:val="auto"/>
        </w:rPr>
        <w:t>Martiskainen</w:t>
      </w:r>
      <w:proofErr w:type="spellEnd"/>
      <w:r w:rsidR="00AA5321" w:rsidRPr="007C367A">
        <w:rPr>
          <w:color w:val="auto"/>
        </w:rPr>
        <w:t xml:space="preserve"> </w:t>
      </w:r>
      <w:r w:rsidR="00FA1C78" w:rsidRPr="007C367A">
        <w:rPr>
          <w:color w:val="auto"/>
        </w:rPr>
        <w:t>2017</w:t>
      </w:r>
      <w:r w:rsidRPr="007C367A">
        <w:rPr>
          <w:color w:val="auto"/>
        </w:rPr>
        <w:t>).</w:t>
      </w:r>
    </w:p>
    <w:p w14:paraId="34423E6F" w14:textId="746752D2" w:rsidR="00FA1C78" w:rsidRPr="00577C42" w:rsidRDefault="008816C2" w:rsidP="00086545">
      <w:pPr>
        <w:rPr>
          <w:color w:val="auto"/>
        </w:rPr>
      </w:pPr>
      <w:r w:rsidRPr="00577C42">
        <w:rPr>
          <w:color w:val="auto"/>
        </w:rPr>
        <w:t xml:space="preserve">While these concepts are widely used, they are neither consistently defined nor is there an accepted common </w:t>
      </w:r>
      <w:r w:rsidR="00FA1C78" w:rsidRPr="00C032D3">
        <w:rPr>
          <w:color w:val="auto"/>
        </w:rPr>
        <w:t>practice</w:t>
      </w:r>
      <w:r w:rsidRPr="00577C42">
        <w:rPr>
          <w:color w:val="auto"/>
        </w:rPr>
        <w:t xml:space="preserve"> of assessment, leading to a lack of </w:t>
      </w:r>
      <w:r w:rsidR="00F47641">
        <w:rPr>
          <w:color w:val="auto"/>
        </w:rPr>
        <w:t>empirical</w:t>
      </w:r>
      <w:r w:rsidR="004E4D18">
        <w:rPr>
          <w:color w:val="auto"/>
        </w:rPr>
        <w:t xml:space="preserve"> </w:t>
      </w:r>
      <w:r w:rsidRPr="00577C42">
        <w:rPr>
          <w:color w:val="auto"/>
        </w:rPr>
        <w:t>analys</w:t>
      </w:r>
      <w:r w:rsidR="00934807" w:rsidRPr="00577C42">
        <w:rPr>
          <w:color w:val="auto"/>
        </w:rPr>
        <w:t>i</w:t>
      </w:r>
      <w:r w:rsidRPr="00577C42">
        <w:rPr>
          <w:color w:val="auto"/>
        </w:rPr>
        <w:t xml:space="preserve">s of patterns of policy mixes (Howlett and del Rio </w:t>
      </w:r>
      <w:r w:rsidR="00FA1C78" w:rsidRPr="00C032D3">
        <w:rPr>
          <w:color w:val="auto"/>
        </w:rPr>
        <w:t>2015</w:t>
      </w:r>
      <w:r w:rsidRPr="00577C42">
        <w:rPr>
          <w:color w:val="auto"/>
        </w:rPr>
        <w:t xml:space="preserve">). Other than a rather broad understanding that some </w:t>
      </w:r>
      <w:r w:rsidR="00793A96" w:rsidRPr="00577C42">
        <w:rPr>
          <w:color w:val="auto"/>
        </w:rPr>
        <w:t xml:space="preserve">types of </w:t>
      </w:r>
      <w:r w:rsidRPr="00577C42">
        <w:rPr>
          <w:color w:val="auto"/>
        </w:rPr>
        <w:t>policy instrument</w:t>
      </w:r>
      <w:r w:rsidR="00793A96" w:rsidRPr="00577C42">
        <w:rPr>
          <w:color w:val="auto"/>
        </w:rPr>
        <w:t>s</w:t>
      </w:r>
      <w:r w:rsidRPr="00577C42">
        <w:rPr>
          <w:color w:val="auto"/>
        </w:rPr>
        <w:t xml:space="preserve"> do not necessarily work </w:t>
      </w:r>
      <w:r w:rsidR="00FA1C78" w:rsidRPr="00C032D3">
        <w:rPr>
          <w:color w:val="auto"/>
        </w:rPr>
        <w:t>well</w:t>
      </w:r>
      <w:r w:rsidRPr="00577C42">
        <w:rPr>
          <w:color w:val="auto"/>
        </w:rPr>
        <w:t xml:space="preserve"> </w:t>
      </w:r>
      <w:r w:rsidR="004E4D18">
        <w:rPr>
          <w:color w:val="auto"/>
        </w:rPr>
        <w:t>together</w:t>
      </w:r>
      <w:r w:rsidRPr="00577C42">
        <w:rPr>
          <w:color w:val="auto"/>
        </w:rPr>
        <w:t xml:space="preserve">, the interplay of policy instruments in a mix is not </w:t>
      </w:r>
      <w:r w:rsidR="00FA1C78" w:rsidRPr="00C032D3">
        <w:rPr>
          <w:color w:val="auto"/>
        </w:rPr>
        <w:t>well</w:t>
      </w:r>
      <w:r w:rsidRPr="00577C42">
        <w:rPr>
          <w:color w:val="auto"/>
        </w:rPr>
        <w:t xml:space="preserve"> understood. One main reason for this is the persistent challenge to adequately and systematically assess and evaluate individual policies (</w:t>
      </w:r>
      <w:proofErr w:type="spellStart"/>
      <w:r w:rsidR="00AA5321" w:rsidRPr="00577C42">
        <w:rPr>
          <w:color w:val="auto"/>
        </w:rPr>
        <w:t>Capano</w:t>
      </w:r>
      <w:proofErr w:type="spellEnd"/>
      <w:r w:rsidR="00AA5321" w:rsidRPr="00577C42">
        <w:rPr>
          <w:color w:val="auto"/>
        </w:rPr>
        <w:t xml:space="preserve"> and Howlett </w:t>
      </w:r>
      <w:r w:rsidR="00FA1C78" w:rsidRPr="00C032D3">
        <w:rPr>
          <w:color w:val="auto"/>
        </w:rPr>
        <w:t>2009</w:t>
      </w:r>
      <w:r w:rsidR="00AA5321" w:rsidRPr="00577C42">
        <w:rPr>
          <w:color w:val="auto"/>
        </w:rPr>
        <w:t xml:space="preserve">; </w:t>
      </w:r>
      <w:r w:rsidRPr="00577C42">
        <w:rPr>
          <w:color w:val="auto"/>
        </w:rPr>
        <w:t xml:space="preserve">Howlett and </w:t>
      </w:r>
      <w:proofErr w:type="spellStart"/>
      <w:r w:rsidRPr="00577C42">
        <w:rPr>
          <w:color w:val="auto"/>
        </w:rPr>
        <w:t>Cashore</w:t>
      </w:r>
      <w:proofErr w:type="spellEnd"/>
      <w:r w:rsidRPr="00577C42">
        <w:rPr>
          <w:color w:val="auto"/>
        </w:rPr>
        <w:t xml:space="preserve"> </w:t>
      </w:r>
      <w:r w:rsidR="00FA1C78" w:rsidRPr="00C032D3">
        <w:rPr>
          <w:color w:val="auto"/>
        </w:rPr>
        <w:t>2009</w:t>
      </w:r>
      <w:r w:rsidRPr="00577C42">
        <w:rPr>
          <w:color w:val="auto"/>
        </w:rPr>
        <w:t>)</w:t>
      </w:r>
      <w:r w:rsidR="008C2781" w:rsidRPr="00577C42">
        <w:rPr>
          <w:color w:val="auto"/>
        </w:rPr>
        <w:t>—</w:t>
      </w:r>
      <w:r w:rsidRPr="00577C42">
        <w:rPr>
          <w:color w:val="auto"/>
        </w:rPr>
        <w:t>i.e. the building blocks of complex policy mixes</w:t>
      </w:r>
      <w:r w:rsidR="008C2781" w:rsidRPr="00577C42">
        <w:rPr>
          <w:color w:val="auto"/>
        </w:rPr>
        <w:t>—</w:t>
      </w:r>
      <w:r w:rsidRPr="00577C42">
        <w:rPr>
          <w:color w:val="auto"/>
        </w:rPr>
        <w:t xml:space="preserve">let alone </w:t>
      </w:r>
      <w:r w:rsidR="004E4D18">
        <w:rPr>
          <w:color w:val="auto"/>
        </w:rPr>
        <w:t xml:space="preserve">how they </w:t>
      </w:r>
      <w:r w:rsidRPr="00577C42">
        <w:rPr>
          <w:color w:val="auto"/>
        </w:rPr>
        <w:t>mix with other</w:t>
      </w:r>
      <w:r w:rsidR="004E4D18">
        <w:rPr>
          <w:color w:val="auto"/>
        </w:rPr>
        <w:t xml:space="preserve"> policies</w:t>
      </w:r>
      <w:r w:rsidRPr="00577C42">
        <w:rPr>
          <w:color w:val="auto"/>
        </w:rPr>
        <w:t xml:space="preserve">. Only recently has research begun to tackle these </w:t>
      </w:r>
      <w:r w:rsidR="004E4D18">
        <w:rPr>
          <w:color w:val="auto"/>
        </w:rPr>
        <w:t xml:space="preserve">important </w:t>
      </w:r>
      <w:r w:rsidRPr="00577C42">
        <w:rPr>
          <w:color w:val="auto"/>
        </w:rPr>
        <w:t xml:space="preserve">challenges, either by conducting policy mix analysis based on comprehensive </w:t>
      </w:r>
      <w:r w:rsidR="00FA1C78" w:rsidRPr="00C032D3">
        <w:rPr>
          <w:color w:val="auto"/>
        </w:rPr>
        <w:t>data set</w:t>
      </w:r>
      <w:r w:rsidRPr="00577C42">
        <w:rPr>
          <w:color w:val="auto"/>
        </w:rPr>
        <w:t xml:space="preserve">s (Schmidt and </w:t>
      </w:r>
      <w:proofErr w:type="spellStart"/>
      <w:r w:rsidRPr="00577C42">
        <w:rPr>
          <w:color w:val="auto"/>
        </w:rPr>
        <w:t>Sewerin</w:t>
      </w:r>
      <w:proofErr w:type="spellEnd"/>
      <w:r w:rsidRPr="00577C42">
        <w:rPr>
          <w:color w:val="auto"/>
        </w:rPr>
        <w:t xml:space="preserve"> </w:t>
      </w:r>
      <w:r w:rsidR="00FA1C78" w:rsidRPr="00C032D3">
        <w:rPr>
          <w:color w:val="auto"/>
        </w:rPr>
        <w:t>2018</w:t>
      </w:r>
      <w:r w:rsidRPr="00577C42">
        <w:rPr>
          <w:color w:val="auto"/>
        </w:rPr>
        <w:t>), or by modelling the interplay of policy instruments. These models, however, are generally limited to the interplay of two or three policies</w:t>
      </w:r>
      <w:r w:rsidR="00793A96" w:rsidRPr="00577C42">
        <w:rPr>
          <w:color w:val="auto"/>
        </w:rPr>
        <w:t>,</w:t>
      </w:r>
      <w:r w:rsidRPr="00577C42">
        <w:rPr>
          <w:color w:val="auto"/>
        </w:rPr>
        <w:t xml:space="preserve"> whereas the real</w:t>
      </w:r>
      <w:r w:rsidR="00793A96" w:rsidRPr="00577C42">
        <w:rPr>
          <w:color w:val="auto"/>
        </w:rPr>
        <w:t>-</w:t>
      </w:r>
      <w:r w:rsidRPr="00577C42">
        <w:rPr>
          <w:color w:val="auto"/>
        </w:rPr>
        <w:t xml:space="preserve">world mix, consisting of many more policies, is </w:t>
      </w:r>
      <w:r w:rsidR="004E4D18">
        <w:rPr>
          <w:color w:val="auto"/>
        </w:rPr>
        <w:t xml:space="preserve">usually </w:t>
      </w:r>
      <w:r w:rsidRPr="00577C42">
        <w:rPr>
          <w:color w:val="auto"/>
        </w:rPr>
        <w:t>more complex.</w:t>
      </w:r>
    </w:p>
    <w:p w14:paraId="0258BEAB" w14:textId="58155A83" w:rsidR="00FA1C78" w:rsidRPr="00577C42" w:rsidRDefault="008816C2" w:rsidP="00B04299">
      <w:pPr>
        <w:pStyle w:val="Heading2"/>
      </w:pPr>
      <w:bookmarkStart w:id="64" w:name="_rhrofpmtfuqz" w:colFirst="0" w:colLast="0"/>
      <w:bookmarkStart w:id="65" w:name="_Toc511747975"/>
      <w:bookmarkEnd w:id="64"/>
      <w:r w:rsidRPr="00577C42">
        <w:t xml:space="preserve">Policy </w:t>
      </w:r>
      <w:r w:rsidR="00793A96" w:rsidRPr="00577C42">
        <w:t>i</w:t>
      </w:r>
      <w:r w:rsidRPr="00577C42">
        <w:t>ntegration</w:t>
      </w:r>
      <w:bookmarkEnd w:id="65"/>
    </w:p>
    <w:p w14:paraId="65D55693" w14:textId="1F6B6E61" w:rsidR="00FA1C78" w:rsidRPr="00577C42" w:rsidRDefault="008816C2" w:rsidP="00086545">
      <w:pPr>
        <w:rPr>
          <w:color w:val="auto"/>
        </w:rPr>
      </w:pPr>
      <w:bookmarkStart w:id="66" w:name="_tyjcwt" w:colFirst="0" w:colLast="0"/>
      <w:bookmarkEnd w:id="66"/>
      <w:r w:rsidRPr="00577C42">
        <w:rPr>
          <w:color w:val="auto"/>
        </w:rPr>
        <w:t xml:space="preserve">Environmental objectives cannot be realized by </w:t>
      </w:r>
      <w:r w:rsidR="009751AA" w:rsidRPr="00577C42">
        <w:rPr>
          <w:color w:val="auto"/>
        </w:rPr>
        <w:t xml:space="preserve">implementing </w:t>
      </w:r>
      <w:r w:rsidR="0054696D" w:rsidRPr="00577C42">
        <w:rPr>
          <w:color w:val="auto"/>
        </w:rPr>
        <w:t xml:space="preserve">a mix of </w:t>
      </w:r>
      <w:r w:rsidRPr="00577C42">
        <w:rPr>
          <w:color w:val="auto"/>
        </w:rPr>
        <w:t>environmental policies alone</w:t>
      </w:r>
      <w:r w:rsidR="00090A52" w:rsidRPr="00577C42">
        <w:rPr>
          <w:color w:val="auto"/>
        </w:rPr>
        <w:t>;</w:t>
      </w:r>
      <w:r w:rsidRPr="00577C42">
        <w:rPr>
          <w:color w:val="auto"/>
        </w:rPr>
        <w:t xml:space="preserve"> </w:t>
      </w:r>
      <w:r w:rsidR="00090A52" w:rsidRPr="00577C42">
        <w:rPr>
          <w:color w:val="auto"/>
        </w:rPr>
        <w:t>they</w:t>
      </w:r>
      <w:r w:rsidRPr="00577C42">
        <w:rPr>
          <w:color w:val="auto"/>
        </w:rPr>
        <w:t xml:space="preserve"> need to be </w:t>
      </w:r>
      <w:r w:rsidR="0054696D" w:rsidRPr="00577C42">
        <w:rPr>
          <w:color w:val="auto"/>
        </w:rPr>
        <w:t xml:space="preserve">integrated </w:t>
      </w:r>
      <w:r w:rsidRPr="00577C42">
        <w:rPr>
          <w:color w:val="auto"/>
        </w:rPr>
        <w:t xml:space="preserve">in </w:t>
      </w:r>
      <w:r w:rsidR="00FA1C78" w:rsidRPr="00C032D3">
        <w:rPr>
          <w:color w:val="auto"/>
        </w:rPr>
        <w:t>non</w:t>
      </w:r>
      <w:r w:rsidR="00FA1C78" w:rsidRPr="00577C42">
        <w:rPr>
          <w:color w:val="auto"/>
        </w:rPr>
        <w:t>-</w:t>
      </w:r>
      <w:r w:rsidRPr="00577C42">
        <w:rPr>
          <w:color w:val="auto"/>
        </w:rPr>
        <w:t xml:space="preserve">environmental policy sectors too. </w:t>
      </w:r>
      <w:r w:rsidR="00480021" w:rsidRPr="00577C42">
        <w:rPr>
          <w:color w:val="auto"/>
        </w:rPr>
        <w:t xml:space="preserve">This is underpinned in the integrated approach of Agenda </w:t>
      </w:r>
      <w:r w:rsidR="00FA1C78" w:rsidRPr="00C032D3">
        <w:rPr>
          <w:color w:val="auto"/>
        </w:rPr>
        <w:t>2030</w:t>
      </w:r>
      <w:r w:rsidR="00480021" w:rsidRPr="00577C42">
        <w:rPr>
          <w:color w:val="auto"/>
        </w:rPr>
        <w:t xml:space="preserve"> and the </w:t>
      </w:r>
      <w:r w:rsidR="00090A52" w:rsidRPr="00577C42">
        <w:rPr>
          <w:color w:val="auto"/>
        </w:rPr>
        <w:t>Sustainable Development Goals (</w:t>
      </w:r>
      <w:r w:rsidR="00480021" w:rsidRPr="00577C42">
        <w:rPr>
          <w:color w:val="auto"/>
        </w:rPr>
        <w:t>SDGs</w:t>
      </w:r>
      <w:r w:rsidR="00090A52" w:rsidRPr="00577C42">
        <w:rPr>
          <w:color w:val="auto"/>
        </w:rPr>
        <w:t>)</w:t>
      </w:r>
      <w:r w:rsidR="00480021" w:rsidRPr="00577C42">
        <w:rPr>
          <w:color w:val="auto"/>
        </w:rPr>
        <w:t xml:space="preserve">. However, </w:t>
      </w:r>
      <w:r w:rsidRPr="00577C42">
        <w:rPr>
          <w:color w:val="auto"/>
        </w:rPr>
        <w:t>environmental ambitions often clash with other sectoral goals</w:t>
      </w:r>
      <w:r w:rsidR="00090A52" w:rsidRPr="00577C42">
        <w:rPr>
          <w:color w:val="auto"/>
        </w:rPr>
        <w:t>—</w:t>
      </w:r>
      <w:r w:rsidRPr="00577C42">
        <w:rPr>
          <w:color w:val="auto"/>
        </w:rPr>
        <w:t>for example</w:t>
      </w:r>
      <w:r w:rsidR="00090A52" w:rsidRPr="00577C42">
        <w:rPr>
          <w:color w:val="auto"/>
        </w:rPr>
        <w:t>,</w:t>
      </w:r>
      <w:r w:rsidRPr="00577C42">
        <w:rPr>
          <w:color w:val="auto"/>
        </w:rPr>
        <w:t xml:space="preserve"> when </w:t>
      </w:r>
      <w:r w:rsidR="00090A52" w:rsidRPr="00577C42">
        <w:rPr>
          <w:color w:val="auto"/>
        </w:rPr>
        <w:t xml:space="preserve">the utilization of </w:t>
      </w:r>
      <w:r w:rsidRPr="00577C42">
        <w:rPr>
          <w:color w:val="auto"/>
        </w:rPr>
        <w:t xml:space="preserve">natural resources by </w:t>
      </w:r>
      <w:r w:rsidR="00972F76">
        <w:rPr>
          <w:color w:val="auto"/>
        </w:rPr>
        <w:t xml:space="preserve">the </w:t>
      </w:r>
      <w:r w:rsidRPr="00577C42">
        <w:rPr>
          <w:color w:val="auto"/>
        </w:rPr>
        <w:t xml:space="preserve">energy </w:t>
      </w:r>
      <w:r w:rsidR="00972F76">
        <w:rPr>
          <w:color w:val="auto"/>
        </w:rPr>
        <w:t>sector</w:t>
      </w:r>
      <w:r w:rsidR="00A479BD">
        <w:rPr>
          <w:color w:val="auto"/>
        </w:rPr>
        <w:t>,</w:t>
      </w:r>
      <w:r w:rsidR="00972F76">
        <w:rPr>
          <w:color w:val="auto"/>
        </w:rPr>
        <w:t xml:space="preserve"> </w:t>
      </w:r>
      <w:r w:rsidRPr="00577C42">
        <w:rPr>
          <w:color w:val="auto"/>
        </w:rPr>
        <w:t xml:space="preserve">agriculture industries </w:t>
      </w:r>
      <w:r w:rsidR="00A479BD">
        <w:rPr>
          <w:color w:val="auto"/>
        </w:rPr>
        <w:t xml:space="preserve">or for building infrastructures </w:t>
      </w:r>
      <w:r w:rsidRPr="00577C42">
        <w:rPr>
          <w:color w:val="auto"/>
        </w:rPr>
        <w:t xml:space="preserve">clashes with efforts to conserve those natural resources. A </w:t>
      </w:r>
      <w:r w:rsidR="00972F76">
        <w:rPr>
          <w:color w:val="auto"/>
        </w:rPr>
        <w:t xml:space="preserve">concept that promotes </w:t>
      </w:r>
      <w:r w:rsidRPr="00577C42">
        <w:rPr>
          <w:color w:val="auto"/>
        </w:rPr>
        <w:t>the environment in other policy sectors</w:t>
      </w:r>
      <w:r w:rsidR="00972F76">
        <w:rPr>
          <w:color w:val="auto"/>
        </w:rPr>
        <w:t>,</w:t>
      </w:r>
      <w:r w:rsidRPr="00577C42">
        <w:rPr>
          <w:color w:val="auto"/>
        </w:rPr>
        <w:t xml:space="preserve"> and rec</w:t>
      </w:r>
      <w:r w:rsidR="00FA1C78" w:rsidRPr="00C032D3">
        <w:rPr>
          <w:color w:val="auto"/>
        </w:rPr>
        <w:t>o</w:t>
      </w:r>
      <w:r w:rsidR="00FA1C78" w:rsidRPr="00577C42">
        <w:rPr>
          <w:color w:val="auto"/>
        </w:rPr>
        <w:t>gn</w:t>
      </w:r>
      <w:r w:rsidRPr="00577C42">
        <w:rPr>
          <w:color w:val="auto"/>
        </w:rPr>
        <w:t>ized in previous GEO assessments</w:t>
      </w:r>
      <w:r w:rsidR="00972F76">
        <w:rPr>
          <w:color w:val="auto"/>
        </w:rPr>
        <w:t>,</w:t>
      </w:r>
      <w:r w:rsidRPr="00577C42">
        <w:rPr>
          <w:color w:val="auto"/>
        </w:rPr>
        <w:t xml:space="preserve"> is </w:t>
      </w:r>
      <w:r w:rsidR="00FA1C78" w:rsidRPr="00577C42">
        <w:rPr>
          <w:color w:val="auto"/>
        </w:rPr>
        <w:t>‘</w:t>
      </w:r>
      <w:r w:rsidRPr="00577C42">
        <w:rPr>
          <w:color w:val="auto"/>
        </w:rPr>
        <w:t>environmental policy integration</w:t>
      </w:r>
      <w:r w:rsidR="00FA1C78" w:rsidRPr="00577C42">
        <w:rPr>
          <w:color w:val="auto"/>
        </w:rPr>
        <w:t>’</w:t>
      </w:r>
      <w:r w:rsidRPr="00577C42">
        <w:rPr>
          <w:color w:val="auto"/>
        </w:rPr>
        <w:t xml:space="preserve"> (EPI) (Lay </w:t>
      </w:r>
      <w:r w:rsidRPr="00577C42">
        <w:rPr>
          <w:i/>
          <w:color w:val="auto"/>
        </w:rPr>
        <w:t>et al.</w:t>
      </w:r>
      <w:r w:rsidRPr="00577C42">
        <w:rPr>
          <w:color w:val="auto"/>
        </w:rPr>
        <w:t xml:space="preserve"> </w:t>
      </w:r>
      <w:r w:rsidR="00FA1C78" w:rsidRPr="00C032D3">
        <w:rPr>
          <w:color w:val="auto"/>
        </w:rPr>
        <w:t>2017</w:t>
      </w:r>
      <w:r w:rsidRPr="00577C42">
        <w:rPr>
          <w:color w:val="auto"/>
        </w:rPr>
        <w:t xml:space="preserve">). EPI </w:t>
      </w:r>
      <w:r w:rsidR="004078C5" w:rsidRPr="00577C42">
        <w:rPr>
          <w:color w:val="auto"/>
        </w:rPr>
        <w:t xml:space="preserve">aims </w:t>
      </w:r>
      <w:r w:rsidRPr="00577C42">
        <w:rPr>
          <w:color w:val="auto"/>
        </w:rPr>
        <w:t xml:space="preserve">to settle such conflicts between </w:t>
      </w:r>
      <w:r w:rsidRPr="00577C42">
        <w:rPr>
          <w:color w:val="auto"/>
        </w:rPr>
        <w:lastRenderedPageBreak/>
        <w:t>environmental and other policy objectives and has been discussed in the scientific literature (</w:t>
      </w:r>
      <w:r w:rsidR="00AA5321" w:rsidRPr="00577C42">
        <w:rPr>
          <w:color w:val="auto"/>
        </w:rPr>
        <w:t xml:space="preserve">Nilsson </w:t>
      </w:r>
      <w:r w:rsidR="00AA5321" w:rsidRPr="00577C42">
        <w:rPr>
          <w:i/>
          <w:color w:val="auto"/>
        </w:rPr>
        <w:t>et al.</w:t>
      </w:r>
      <w:r w:rsidR="00AA5321" w:rsidRPr="00577C42">
        <w:rPr>
          <w:color w:val="auto"/>
        </w:rPr>
        <w:t xml:space="preserve"> </w:t>
      </w:r>
      <w:r w:rsidR="00FA1C78" w:rsidRPr="00C032D3">
        <w:rPr>
          <w:color w:val="auto"/>
        </w:rPr>
        <w:t>2012</w:t>
      </w:r>
      <w:r w:rsidR="00AA5321" w:rsidRPr="00577C42">
        <w:rPr>
          <w:color w:val="auto"/>
        </w:rPr>
        <w:t xml:space="preserve">; </w:t>
      </w:r>
      <w:proofErr w:type="spellStart"/>
      <w:r w:rsidRPr="00577C42">
        <w:rPr>
          <w:color w:val="auto"/>
        </w:rPr>
        <w:t>Runhaar</w:t>
      </w:r>
      <w:proofErr w:type="spellEnd"/>
      <w:r w:rsidR="00AA5321" w:rsidRPr="00577C42">
        <w:rPr>
          <w:color w:val="auto"/>
        </w:rPr>
        <w:t xml:space="preserve">, Driessen and </w:t>
      </w:r>
      <w:proofErr w:type="spellStart"/>
      <w:r w:rsidR="00AA5321" w:rsidRPr="00577C42">
        <w:rPr>
          <w:color w:val="auto"/>
        </w:rPr>
        <w:t>Uittenbroek</w:t>
      </w:r>
      <w:proofErr w:type="spellEnd"/>
      <w:r w:rsidR="00AA5321" w:rsidRPr="00577C42">
        <w:rPr>
          <w:color w:val="auto"/>
        </w:rPr>
        <w:t xml:space="preserve"> </w:t>
      </w:r>
      <w:r w:rsidR="00FA1C78" w:rsidRPr="00C032D3">
        <w:rPr>
          <w:color w:val="auto"/>
        </w:rPr>
        <w:t>2014</w:t>
      </w:r>
      <w:r w:rsidRPr="00577C42">
        <w:rPr>
          <w:color w:val="auto"/>
        </w:rPr>
        <w:t xml:space="preserve">) and debated in policy contexts </w:t>
      </w:r>
      <w:r w:rsidR="004078C5" w:rsidRPr="00577C42">
        <w:rPr>
          <w:color w:val="auto"/>
        </w:rPr>
        <w:t xml:space="preserve">from early on </w:t>
      </w:r>
      <w:r w:rsidRPr="00577C42">
        <w:rPr>
          <w:color w:val="auto"/>
        </w:rPr>
        <w:t>(</w:t>
      </w:r>
      <w:proofErr w:type="spellStart"/>
      <w:r w:rsidRPr="00577C42">
        <w:rPr>
          <w:color w:val="auto"/>
        </w:rPr>
        <w:t>Mullally</w:t>
      </w:r>
      <w:proofErr w:type="spellEnd"/>
      <w:r w:rsidRPr="00577C42">
        <w:rPr>
          <w:color w:val="auto"/>
        </w:rPr>
        <w:t xml:space="preserve"> and Dunphy </w:t>
      </w:r>
      <w:r w:rsidR="00FA1C78" w:rsidRPr="00C032D3">
        <w:rPr>
          <w:color w:val="auto"/>
        </w:rPr>
        <w:t>2015</w:t>
      </w:r>
      <w:r w:rsidRPr="00577C42">
        <w:rPr>
          <w:color w:val="auto"/>
        </w:rPr>
        <w:t xml:space="preserve">). </w:t>
      </w:r>
      <w:r w:rsidR="00EB3B6B" w:rsidRPr="00577C42">
        <w:rPr>
          <w:color w:val="auto"/>
        </w:rPr>
        <w:t>It led to the introduction of a wide range of institutions, processes and instruments for its implementation (</w:t>
      </w:r>
      <w:r w:rsidR="006B0BC1" w:rsidRPr="00577C42">
        <w:rPr>
          <w:color w:val="auto"/>
        </w:rPr>
        <w:t xml:space="preserve">Jacob </w:t>
      </w:r>
      <w:r w:rsidR="006B0BC1" w:rsidRPr="00577C42">
        <w:rPr>
          <w:i/>
          <w:color w:val="auto"/>
        </w:rPr>
        <w:t>et al.</w:t>
      </w:r>
      <w:r w:rsidR="006B0BC1" w:rsidRPr="00577C42">
        <w:rPr>
          <w:color w:val="auto"/>
        </w:rPr>
        <w:t xml:space="preserve"> </w:t>
      </w:r>
      <w:r w:rsidR="00FA1C78" w:rsidRPr="00C032D3">
        <w:rPr>
          <w:color w:val="auto"/>
        </w:rPr>
        <w:t>2008</w:t>
      </w:r>
      <w:r w:rsidR="006B0BC1" w:rsidRPr="00577C42">
        <w:rPr>
          <w:color w:val="auto"/>
        </w:rPr>
        <w:t xml:space="preserve">). </w:t>
      </w:r>
      <w:r w:rsidR="00D41486" w:rsidRPr="00577C42">
        <w:rPr>
          <w:color w:val="auto"/>
        </w:rPr>
        <w:t xml:space="preserve">The </w:t>
      </w:r>
      <w:r w:rsidR="00FA1C78" w:rsidRPr="00C032D3">
        <w:rPr>
          <w:color w:val="auto"/>
        </w:rPr>
        <w:t>principle</w:t>
      </w:r>
      <w:r w:rsidR="00D41486" w:rsidRPr="00577C42">
        <w:rPr>
          <w:color w:val="auto"/>
        </w:rPr>
        <w:t xml:space="preserve"> of EPI also contributed to change in policy </w:t>
      </w:r>
      <w:r w:rsidR="0088280A">
        <w:rPr>
          <w:color w:val="auto"/>
        </w:rPr>
        <w:t xml:space="preserve">discussions </w:t>
      </w:r>
      <w:r w:rsidR="00D41486" w:rsidRPr="00577C42">
        <w:rPr>
          <w:color w:val="auto"/>
        </w:rPr>
        <w:t xml:space="preserve">which again </w:t>
      </w:r>
      <w:r w:rsidR="00090A52" w:rsidRPr="00577C42">
        <w:rPr>
          <w:color w:val="auto"/>
        </w:rPr>
        <w:t>affected</w:t>
      </w:r>
      <w:r w:rsidR="00D41486" w:rsidRPr="00577C42">
        <w:rPr>
          <w:color w:val="auto"/>
        </w:rPr>
        <w:t xml:space="preserve"> policy outcomes (</w:t>
      </w:r>
      <w:proofErr w:type="spellStart"/>
      <w:r w:rsidR="00D41486" w:rsidRPr="00577C42">
        <w:rPr>
          <w:color w:val="auto"/>
        </w:rPr>
        <w:t>Scarse</w:t>
      </w:r>
      <w:proofErr w:type="spellEnd"/>
      <w:r w:rsidR="00D41486" w:rsidRPr="00577C42">
        <w:rPr>
          <w:color w:val="auto"/>
        </w:rPr>
        <w:t xml:space="preserve"> and </w:t>
      </w:r>
      <w:proofErr w:type="spellStart"/>
      <w:r w:rsidR="00D41486" w:rsidRPr="00577C42">
        <w:rPr>
          <w:color w:val="auto"/>
        </w:rPr>
        <w:t>Ockwell</w:t>
      </w:r>
      <w:proofErr w:type="spellEnd"/>
      <w:r w:rsidR="00D41486" w:rsidRPr="00577C42">
        <w:rPr>
          <w:color w:val="auto"/>
        </w:rPr>
        <w:t xml:space="preserve"> </w:t>
      </w:r>
      <w:r w:rsidR="00FA1C78" w:rsidRPr="00C032D3">
        <w:rPr>
          <w:color w:val="auto"/>
        </w:rPr>
        <w:t>2010</w:t>
      </w:r>
      <w:r w:rsidR="00D41486" w:rsidRPr="00577C42">
        <w:rPr>
          <w:color w:val="auto"/>
        </w:rPr>
        <w:t xml:space="preserve">; Espinosa </w:t>
      </w:r>
      <w:r w:rsidR="00D41486" w:rsidRPr="00577C42">
        <w:rPr>
          <w:i/>
          <w:color w:val="auto"/>
        </w:rPr>
        <w:t>et al</w:t>
      </w:r>
      <w:r w:rsidR="00833AFA" w:rsidRPr="00577C42">
        <w:rPr>
          <w:color w:val="auto"/>
        </w:rPr>
        <w:t>.</w:t>
      </w:r>
      <w:r w:rsidR="00D41486" w:rsidRPr="00577C42">
        <w:rPr>
          <w:color w:val="auto"/>
        </w:rPr>
        <w:t xml:space="preserve"> </w:t>
      </w:r>
      <w:r w:rsidR="00FA1C78" w:rsidRPr="00C032D3">
        <w:rPr>
          <w:color w:val="auto"/>
        </w:rPr>
        <w:t>2017</w:t>
      </w:r>
      <w:r w:rsidR="00D41486" w:rsidRPr="00577C42">
        <w:rPr>
          <w:color w:val="auto"/>
        </w:rPr>
        <w:t xml:space="preserve">). </w:t>
      </w:r>
      <w:r w:rsidRPr="00577C42">
        <w:rPr>
          <w:color w:val="auto"/>
        </w:rPr>
        <w:t xml:space="preserve">Others suggest that EPI needs to go further and demand the “incorporation of environmental objectives into all stages of policy-making in non-environmental policy sectors, with a specific recognition of its role as a guiding principle for the planning and execution of policy” (Lafferty </w:t>
      </w:r>
      <w:r w:rsidR="00FA1C78" w:rsidRPr="00C032D3">
        <w:rPr>
          <w:color w:val="auto"/>
        </w:rPr>
        <w:t>2004</w:t>
      </w:r>
      <w:r w:rsidRPr="00577C42">
        <w:rPr>
          <w:color w:val="auto"/>
        </w:rPr>
        <w:t>, p</w:t>
      </w:r>
      <w:r w:rsidR="00A12C9B" w:rsidRPr="00577C42">
        <w:rPr>
          <w:color w:val="auto"/>
        </w:rPr>
        <w:t>.</w:t>
      </w:r>
      <w:r w:rsidRPr="00577C42">
        <w:rPr>
          <w:color w:val="auto"/>
        </w:rPr>
        <w:t xml:space="preserve"> 201).</w:t>
      </w:r>
      <w:r w:rsidR="00D10374" w:rsidRPr="00577C42">
        <w:rPr>
          <w:color w:val="auto"/>
        </w:rPr>
        <w:t xml:space="preserve"> This level of ambition is not </w:t>
      </w:r>
      <w:proofErr w:type="gramStart"/>
      <w:r w:rsidR="00D10374" w:rsidRPr="00577C42">
        <w:rPr>
          <w:color w:val="auto"/>
        </w:rPr>
        <w:t xml:space="preserve">achieved in reality, </w:t>
      </w:r>
      <w:r w:rsidR="00AE34BC" w:rsidRPr="00577C42">
        <w:rPr>
          <w:color w:val="auto"/>
        </w:rPr>
        <w:t>as</w:t>
      </w:r>
      <w:proofErr w:type="gramEnd"/>
      <w:r w:rsidR="00AE34BC" w:rsidRPr="00577C42">
        <w:rPr>
          <w:color w:val="auto"/>
        </w:rPr>
        <w:t xml:space="preserve"> </w:t>
      </w:r>
      <w:r w:rsidR="00727AC7" w:rsidRPr="00577C42">
        <w:rPr>
          <w:color w:val="auto"/>
        </w:rPr>
        <w:t>policy incoherence and competition</w:t>
      </w:r>
      <w:r w:rsidR="0088280A">
        <w:rPr>
          <w:color w:val="auto"/>
        </w:rPr>
        <w:t xml:space="preserve"> typically</w:t>
      </w:r>
      <w:r w:rsidR="00727AC7" w:rsidRPr="00577C42">
        <w:rPr>
          <w:color w:val="auto"/>
        </w:rPr>
        <w:t xml:space="preserve"> prevail</w:t>
      </w:r>
      <w:r w:rsidR="00AE34BC" w:rsidRPr="00577C42">
        <w:rPr>
          <w:color w:val="auto"/>
        </w:rPr>
        <w:t>,</w:t>
      </w:r>
      <w:r w:rsidR="00727AC7" w:rsidRPr="00577C42">
        <w:rPr>
          <w:color w:val="auto"/>
        </w:rPr>
        <w:t xml:space="preserve"> </w:t>
      </w:r>
      <w:r w:rsidR="00D10374" w:rsidRPr="00577C42">
        <w:rPr>
          <w:color w:val="auto"/>
        </w:rPr>
        <w:t xml:space="preserve">pointing to the limitation of </w:t>
      </w:r>
      <w:r w:rsidR="0088280A">
        <w:rPr>
          <w:color w:val="auto"/>
        </w:rPr>
        <w:t xml:space="preserve">the </w:t>
      </w:r>
      <w:r w:rsidR="00D10374" w:rsidRPr="00577C42">
        <w:rPr>
          <w:color w:val="auto"/>
        </w:rPr>
        <w:t>institutions, instruments and processes that have been introduced to promote EPI.</w:t>
      </w:r>
    </w:p>
    <w:p w14:paraId="7CDEB061" w14:textId="0EA3AFB7" w:rsidR="00FA1C78" w:rsidRPr="00577C42" w:rsidRDefault="008816C2" w:rsidP="00086545">
      <w:pPr>
        <w:rPr>
          <w:color w:val="auto"/>
        </w:rPr>
      </w:pPr>
      <w:r w:rsidRPr="00577C42">
        <w:rPr>
          <w:color w:val="auto"/>
        </w:rPr>
        <w:t xml:space="preserve">It is not </w:t>
      </w:r>
      <w:r w:rsidR="00CF5910">
        <w:rPr>
          <w:color w:val="auto"/>
        </w:rPr>
        <w:t xml:space="preserve">always </w:t>
      </w:r>
      <w:r w:rsidRPr="00577C42">
        <w:rPr>
          <w:color w:val="auto"/>
        </w:rPr>
        <w:t xml:space="preserve">clear how institutional and </w:t>
      </w:r>
      <w:r w:rsidR="00FA1C78" w:rsidRPr="00C032D3">
        <w:rPr>
          <w:color w:val="auto"/>
        </w:rPr>
        <w:t>socio</w:t>
      </w:r>
      <w:r w:rsidR="00090A52" w:rsidRPr="00C032D3">
        <w:rPr>
          <w:color w:val="auto"/>
        </w:rPr>
        <w:t>-</w:t>
      </w:r>
      <w:r w:rsidR="00FA1C78" w:rsidRPr="00C032D3">
        <w:rPr>
          <w:color w:val="auto"/>
        </w:rPr>
        <w:t>economic</w:t>
      </w:r>
      <w:r w:rsidRPr="00577C42">
        <w:rPr>
          <w:color w:val="auto"/>
        </w:rPr>
        <w:t xml:space="preserve"> conditions associated with other policy domains degrade the environment, making it difficult to understand wh</w:t>
      </w:r>
      <w:r w:rsidR="00090A52" w:rsidRPr="00577C42">
        <w:rPr>
          <w:color w:val="auto"/>
        </w:rPr>
        <w:t>ich</w:t>
      </w:r>
      <w:r w:rsidRPr="00577C42">
        <w:rPr>
          <w:color w:val="auto"/>
        </w:rPr>
        <w:t xml:space="preserve"> EPI strategies </w:t>
      </w:r>
      <w:r w:rsidR="00CF5910">
        <w:rPr>
          <w:color w:val="auto"/>
        </w:rPr>
        <w:t xml:space="preserve">would </w:t>
      </w:r>
      <w:r w:rsidRPr="00577C42">
        <w:rPr>
          <w:color w:val="auto"/>
        </w:rPr>
        <w:t>work to mitigate this degradation (</w:t>
      </w:r>
      <w:proofErr w:type="spellStart"/>
      <w:r w:rsidRPr="00577C42">
        <w:rPr>
          <w:color w:val="auto"/>
        </w:rPr>
        <w:t>Runhaar</w:t>
      </w:r>
      <w:proofErr w:type="spellEnd"/>
      <w:r w:rsidR="00AA5321" w:rsidRPr="00577C42">
        <w:rPr>
          <w:color w:val="auto"/>
        </w:rPr>
        <w:t xml:space="preserve">, Driessen and </w:t>
      </w:r>
      <w:proofErr w:type="spellStart"/>
      <w:r w:rsidR="00214DE3" w:rsidRPr="00577C42">
        <w:rPr>
          <w:color w:val="auto"/>
        </w:rPr>
        <w:t>Uittenbroek</w:t>
      </w:r>
      <w:proofErr w:type="spellEnd"/>
      <w:r w:rsidR="00214DE3" w:rsidRPr="00577C42">
        <w:rPr>
          <w:color w:val="auto"/>
        </w:rPr>
        <w:t xml:space="preserve"> </w:t>
      </w:r>
      <w:r w:rsidR="00FA1C78" w:rsidRPr="00C032D3">
        <w:rPr>
          <w:color w:val="auto"/>
        </w:rPr>
        <w:t>2014</w:t>
      </w:r>
      <w:r w:rsidRPr="00577C42">
        <w:rPr>
          <w:color w:val="auto"/>
        </w:rPr>
        <w:t xml:space="preserve">). Systematic evidence is lacking on how sectors such as agriculture, transport, urban planning or water management incorporate environmental concerns and standards to prevent, reduce or mitigate any harmful environmental effects. Nonetheless, one necessary but insufficient condition for policy integration is political leadership and </w:t>
      </w:r>
      <w:r w:rsidR="00090A52" w:rsidRPr="00577C42">
        <w:rPr>
          <w:color w:val="auto"/>
        </w:rPr>
        <w:t xml:space="preserve">the </w:t>
      </w:r>
      <w:r w:rsidRPr="00577C42">
        <w:rPr>
          <w:color w:val="auto"/>
        </w:rPr>
        <w:t xml:space="preserve">acknowledgement of co-benefits </w:t>
      </w:r>
      <w:r w:rsidR="00CF5910">
        <w:rPr>
          <w:color w:val="auto"/>
        </w:rPr>
        <w:t>across</w:t>
      </w:r>
      <w:r w:rsidR="00CF5910" w:rsidRPr="00577C42">
        <w:rPr>
          <w:color w:val="auto"/>
        </w:rPr>
        <w:t xml:space="preserve"> </w:t>
      </w:r>
      <w:r w:rsidRPr="00577C42">
        <w:rPr>
          <w:color w:val="auto"/>
        </w:rPr>
        <w:t>multiple policy domains (</w:t>
      </w:r>
      <w:r w:rsidR="00214DE3" w:rsidRPr="00577C42">
        <w:rPr>
          <w:color w:val="auto"/>
        </w:rPr>
        <w:t xml:space="preserve">Persson </w:t>
      </w:r>
      <w:r w:rsidR="00FA1C78" w:rsidRPr="00C032D3">
        <w:rPr>
          <w:color w:val="auto"/>
        </w:rPr>
        <w:t>2007</w:t>
      </w:r>
      <w:r w:rsidR="00214DE3" w:rsidRPr="00577C42">
        <w:rPr>
          <w:color w:val="auto"/>
        </w:rPr>
        <w:t xml:space="preserve">; </w:t>
      </w:r>
      <w:r w:rsidRPr="00577C42">
        <w:rPr>
          <w:color w:val="auto"/>
        </w:rPr>
        <w:t xml:space="preserve">Jordan and </w:t>
      </w:r>
      <w:proofErr w:type="spellStart"/>
      <w:r w:rsidRPr="00577C42">
        <w:rPr>
          <w:color w:val="auto"/>
        </w:rPr>
        <w:t>Lenschow</w:t>
      </w:r>
      <w:proofErr w:type="spellEnd"/>
      <w:r w:rsidRPr="00577C42">
        <w:rPr>
          <w:color w:val="auto"/>
        </w:rPr>
        <w:t xml:space="preserve"> </w:t>
      </w:r>
      <w:r w:rsidR="00FA1C78" w:rsidRPr="00C032D3">
        <w:rPr>
          <w:color w:val="auto"/>
        </w:rPr>
        <w:t>2010</w:t>
      </w:r>
      <w:r w:rsidRPr="00577C42">
        <w:rPr>
          <w:color w:val="auto"/>
        </w:rPr>
        <w:t>).</w:t>
      </w:r>
    </w:p>
    <w:p w14:paraId="00AC28D3" w14:textId="4B3743D4" w:rsidR="00FA1C78" w:rsidRPr="00577C42" w:rsidRDefault="00AE34BC" w:rsidP="009D5255">
      <w:pPr>
        <w:pStyle w:val="Heading4"/>
        <w:rPr>
          <w:b/>
          <w:color w:val="auto"/>
        </w:rPr>
      </w:pPr>
      <w:r w:rsidRPr="00577C42">
        <w:rPr>
          <w:b/>
          <w:color w:val="auto"/>
        </w:rPr>
        <w:t xml:space="preserve">Policy </w:t>
      </w:r>
      <w:r w:rsidR="00090A52" w:rsidRPr="00577C42">
        <w:rPr>
          <w:b/>
          <w:color w:val="auto"/>
        </w:rPr>
        <w:t>c</w:t>
      </w:r>
      <w:r w:rsidRPr="00577C42">
        <w:rPr>
          <w:b/>
          <w:color w:val="auto"/>
        </w:rPr>
        <w:t>oherence</w:t>
      </w:r>
    </w:p>
    <w:p w14:paraId="7B80ADD1" w14:textId="3898A6F8" w:rsidR="00BC28F2" w:rsidRDefault="008816C2" w:rsidP="00086545">
      <w:pPr>
        <w:rPr>
          <w:color w:val="auto"/>
        </w:rPr>
      </w:pPr>
      <w:r w:rsidRPr="00577C42">
        <w:rPr>
          <w:color w:val="auto"/>
        </w:rPr>
        <w:t xml:space="preserve">A </w:t>
      </w:r>
      <w:r w:rsidR="00BC28F2">
        <w:rPr>
          <w:color w:val="auto"/>
        </w:rPr>
        <w:t xml:space="preserve">closely related concept </w:t>
      </w:r>
      <w:r w:rsidRPr="00577C42">
        <w:rPr>
          <w:color w:val="auto"/>
        </w:rPr>
        <w:t xml:space="preserve">to policy integration is policy coherence: the promotion of mutually reinforcing policy actions creating synergies towards achieving objectives in multiple sectors. Attempts at better coherence include the development of national sustainable development strategies and various road maps, such as the one developed by the European Commission or the </w:t>
      </w:r>
      <w:r w:rsidR="00FA1C78" w:rsidRPr="00577C42">
        <w:rPr>
          <w:color w:val="auto"/>
        </w:rPr>
        <w:t>‘</w:t>
      </w:r>
      <w:r w:rsidRPr="00577C42">
        <w:rPr>
          <w:color w:val="auto"/>
        </w:rPr>
        <w:t>better regulation</w:t>
      </w:r>
      <w:r w:rsidR="00FA1C78" w:rsidRPr="00577C42">
        <w:rPr>
          <w:color w:val="auto"/>
        </w:rPr>
        <w:t>’</w:t>
      </w:r>
      <w:r w:rsidRPr="00577C42">
        <w:rPr>
          <w:color w:val="auto"/>
        </w:rPr>
        <w:t xml:space="preserve"> agenda pursued by both the </w:t>
      </w:r>
      <w:r w:rsidR="00090A52" w:rsidRPr="00577C42">
        <w:rPr>
          <w:color w:val="auto"/>
        </w:rPr>
        <w:t>European Union (</w:t>
      </w:r>
      <w:r w:rsidRPr="00577C42">
        <w:rPr>
          <w:color w:val="auto"/>
        </w:rPr>
        <w:t>EU</w:t>
      </w:r>
      <w:r w:rsidR="00090A52" w:rsidRPr="00577C42">
        <w:rPr>
          <w:color w:val="auto"/>
        </w:rPr>
        <w:t>)</w:t>
      </w:r>
      <w:r w:rsidRPr="00577C42">
        <w:rPr>
          <w:color w:val="auto"/>
        </w:rPr>
        <w:t xml:space="preserve"> and the OECD (</w:t>
      </w:r>
      <w:r w:rsidR="00214DE3" w:rsidRPr="00577C42">
        <w:rPr>
          <w:color w:val="auto"/>
        </w:rPr>
        <w:t>European Commission</w:t>
      </w:r>
      <w:r w:rsidRPr="00577C42">
        <w:rPr>
          <w:color w:val="auto"/>
        </w:rPr>
        <w:t xml:space="preserve"> </w:t>
      </w:r>
      <w:r w:rsidR="00FA1C78" w:rsidRPr="00C032D3">
        <w:rPr>
          <w:color w:val="auto"/>
        </w:rPr>
        <w:t>2010</w:t>
      </w:r>
      <w:r w:rsidRPr="00577C42">
        <w:rPr>
          <w:color w:val="auto"/>
        </w:rPr>
        <w:t xml:space="preserve">). Here too policy leadership and co-benefits are necessary but insufficient. In </w:t>
      </w:r>
      <w:r w:rsidR="00FA1C78" w:rsidRPr="00C032D3">
        <w:rPr>
          <w:color w:val="auto"/>
        </w:rPr>
        <w:t>2016</w:t>
      </w:r>
      <w:r w:rsidRPr="00577C42">
        <w:rPr>
          <w:color w:val="auto"/>
        </w:rPr>
        <w:t xml:space="preserve">, the OECD </w:t>
      </w:r>
      <w:r w:rsidR="00FA1C78" w:rsidRPr="00577C42">
        <w:rPr>
          <w:color w:val="auto"/>
        </w:rPr>
        <w:t>elaborat</w:t>
      </w:r>
      <w:r w:rsidRPr="00577C42">
        <w:rPr>
          <w:color w:val="auto"/>
        </w:rPr>
        <w:t xml:space="preserve">ed a framework of policy coherence for sustainable development based on eight building blocks: </w:t>
      </w:r>
    </w:p>
    <w:p w14:paraId="1527D15C" w14:textId="534A475E" w:rsidR="00BC28F2" w:rsidRDefault="008816C2" w:rsidP="00BC28F2">
      <w:pPr>
        <w:pStyle w:val="ListParagraph"/>
        <w:numPr>
          <w:ilvl w:val="1"/>
          <w:numId w:val="17"/>
        </w:numPr>
        <w:rPr>
          <w:color w:val="auto"/>
        </w:rPr>
      </w:pPr>
      <w:r w:rsidRPr="007C367A">
        <w:rPr>
          <w:color w:val="auto"/>
        </w:rPr>
        <w:t>political commitment and leadership at the highest level</w:t>
      </w:r>
      <w:r w:rsidR="00090A52" w:rsidRPr="007C367A">
        <w:rPr>
          <w:color w:val="auto"/>
        </w:rPr>
        <w:t>;</w:t>
      </w:r>
    </w:p>
    <w:p w14:paraId="398692A7" w14:textId="63A0C1BB" w:rsidR="00BC28F2" w:rsidRDefault="008816C2" w:rsidP="00BC28F2">
      <w:pPr>
        <w:pStyle w:val="ListParagraph"/>
        <w:numPr>
          <w:ilvl w:val="1"/>
          <w:numId w:val="17"/>
        </w:numPr>
        <w:rPr>
          <w:color w:val="auto"/>
        </w:rPr>
      </w:pPr>
      <w:r w:rsidRPr="007C367A">
        <w:rPr>
          <w:color w:val="auto"/>
        </w:rPr>
        <w:t>integrated approaches to implementation</w:t>
      </w:r>
      <w:r w:rsidR="00090A52" w:rsidRPr="007C367A">
        <w:rPr>
          <w:color w:val="auto"/>
        </w:rPr>
        <w:t>;</w:t>
      </w:r>
      <w:r w:rsidRPr="007C367A">
        <w:rPr>
          <w:color w:val="auto"/>
        </w:rPr>
        <w:t xml:space="preserve"> </w:t>
      </w:r>
    </w:p>
    <w:p w14:paraId="75009810" w14:textId="719860AD" w:rsidR="00BC28F2" w:rsidRDefault="008816C2" w:rsidP="00BC28F2">
      <w:pPr>
        <w:pStyle w:val="ListParagraph"/>
        <w:numPr>
          <w:ilvl w:val="1"/>
          <w:numId w:val="17"/>
        </w:numPr>
        <w:rPr>
          <w:color w:val="auto"/>
        </w:rPr>
      </w:pPr>
      <w:r w:rsidRPr="007C367A">
        <w:rPr>
          <w:color w:val="auto"/>
        </w:rPr>
        <w:t>intergenerational time</w:t>
      </w:r>
      <w:r w:rsidR="00090A52" w:rsidRPr="007C367A">
        <w:rPr>
          <w:color w:val="auto"/>
        </w:rPr>
        <w:t xml:space="preserve"> </w:t>
      </w:r>
      <w:r w:rsidRPr="007C367A">
        <w:rPr>
          <w:color w:val="auto"/>
        </w:rPr>
        <w:t>frame</w:t>
      </w:r>
      <w:r w:rsidR="00090A52" w:rsidRPr="007C367A">
        <w:rPr>
          <w:color w:val="auto"/>
        </w:rPr>
        <w:t>;</w:t>
      </w:r>
    </w:p>
    <w:p w14:paraId="5CBB9744" w14:textId="7DC1BCC9" w:rsidR="00BC28F2" w:rsidRDefault="008816C2" w:rsidP="00BC28F2">
      <w:pPr>
        <w:pStyle w:val="ListParagraph"/>
        <w:numPr>
          <w:ilvl w:val="1"/>
          <w:numId w:val="17"/>
        </w:numPr>
        <w:rPr>
          <w:color w:val="auto"/>
        </w:rPr>
      </w:pPr>
      <w:r w:rsidRPr="007C367A">
        <w:rPr>
          <w:color w:val="auto"/>
        </w:rPr>
        <w:t xml:space="preserve">analysis and assessments of potential </w:t>
      </w:r>
      <w:r w:rsidR="00FA1C78" w:rsidRPr="007C367A">
        <w:rPr>
          <w:color w:val="auto"/>
        </w:rPr>
        <w:t>transboundary</w:t>
      </w:r>
      <w:r w:rsidRPr="007C367A">
        <w:rPr>
          <w:color w:val="auto"/>
        </w:rPr>
        <w:t xml:space="preserve"> effects</w:t>
      </w:r>
      <w:r w:rsidR="00090A52" w:rsidRPr="007C367A">
        <w:rPr>
          <w:color w:val="auto"/>
        </w:rPr>
        <w:t>;</w:t>
      </w:r>
    </w:p>
    <w:p w14:paraId="34AB9BA9" w14:textId="0C74799D" w:rsidR="00BC28F2" w:rsidRDefault="008816C2" w:rsidP="00BC28F2">
      <w:pPr>
        <w:pStyle w:val="ListParagraph"/>
        <w:numPr>
          <w:ilvl w:val="1"/>
          <w:numId w:val="17"/>
        </w:numPr>
        <w:rPr>
          <w:color w:val="auto"/>
        </w:rPr>
      </w:pPr>
      <w:r w:rsidRPr="007C367A">
        <w:rPr>
          <w:color w:val="auto"/>
        </w:rPr>
        <w:t>policy and institutional coordination</w:t>
      </w:r>
      <w:r w:rsidR="00090A52" w:rsidRPr="007C367A">
        <w:rPr>
          <w:color w:val="auto"/>
        </w:rPr>
        <w:t>;</w:t>
      </w:r>
      <w:r w:rsidRPr="007C367A">
        <w:rPr>
          <w:color w:val="auto"/>
        </w:rPr>
        <w:t xml:space="preserve"> </w:t>
      </w:r>
    </w:p>
    <w:p w14:paraId="5F85A68D" w14:textId="6B6A229F" w:rsidR="00BC28F2" w:rsidRDefault="008816C2" w:rsidP="00BC28F2">
      <w:pPr>
        <w:pStyle w:val="ListParagraph"/>
        <w:numPr>
          <w:ilvl w:val="1"/>
          <w:numId w:val="17"/>
        </w:numPr>
        <w:rPr>
          <w:color w:val="auto"/>
        </w:rPr>
      </w:pPr>
      <w:r w:rsidRPr="007C367A">
        <w:rPr>
          <w:color w:val="auto"/>
        </w:rPr>
        <w:t>local and regional involvement</w:t>
      </w:r>
      <w:r w:rsidR="00090A52" w:rsidRPr="007C367A">
        <w:rPr>
          <w:color w:val="auto"/>
        </w:rPr>
        <w:t>;</w:t>
      </w:r>
      <w:r w:rsidRPr="007C367A">
        <w:rPr>
          <w:color w:val="auto"/>
        </w:rPr>
        <w:t xml:space="preserve"> </w:t>
      </w:r>
    </w:p>
    <w:p w14:paraId="746BA942" w14:textId="61BF1C81" w:rsidR="00BC28F2" w:rsidRDefault="008816C2" w:rsidP="00BC28F2">
      <w:pPr>
        <w:pStyle w:val="ListParagraph"/>
        <w:numPr>
          <w:ilvl w:val="1"/>
          <w:numId w:val="17"/>
        </w:numPr>
        <w:rPr>
          <w:color w:val="auto"/>
        </w:rPr>
      </w:pPr>
      <w:r w:rsidRPr="007C367A">
        <w:rPr>
          <w:color w:val="auto"/>
        </w:rPr>
        <w:t>stakeholder participation</w:t>
      </w:r>
      <w:r w:rsidR="00090A52" w:rsidRPr="007C367A">
        <w:rPr>
          <w:color w:val="auto"/>
        </w:rPr>
        <w:t>;</w:t>
      </w:r>
      <w:r w:rsidRPr="007C367A">
        <w:rPr>
          <w:color w:val="auto"/>
        </w:rPr>
        <w:t xml:space="preserve"> and </w:t>
      </w:r>
    </w:p>
    <w:p w14:paraId="3236BD5A" w14:textId="7BB56CAF" w:rsidR="00FA1C78" w:rsidRPr="007C367A" w:rsidRDefault="008816C2" w:rsidP="007C367A">
      <w:pPr>
        <w:pStyle w:val="ListParagraph"/>
        <w:numPr>
          <w:ilvl w:val="1"/>
          <w:numId w:val="17"/>
        </w:numPr>
        <w:rPr>
          <w:color w:val="auto"/>
        </w:rPr>
      </w:pPr>
      <w:r w:rsidRPr="007C367A">
        <w:rPr>
          <w:color w:val="auto"/>
        </w:rPr>
        <w:t xml:space="preserve">monitoring and reporting (OECD </w:t>
      </w:r>
      <w:r w:rsidR="00FA1C78" w:rsidRPr="007C367A">
        <w:rPr>
          <w:color w:val="auto"/>
        </w:rPr>
        <w:t>2017</w:t>
      </w:r>
      <w:r w:rsidRPr="007C367A">
        <w:rPr>
          <w:color w:val="auto"/>
        </w:rPr>
        <w:t>).</w:t>
      </w:r>
    </w:p>
    <w:p w14:paraId="54F80104" w14:textId="7A175E05" w:rsidR="00FA1C78" w:rsidRPr="00577C42" w:rsidRDefault="008816C2" w:rsidP="00086545">
      <w:pPr>
        <w:rPr>
          <w:color w:val="auto"/>
        </w:rPr>
      </w:pPr>
      <w:r w:rsidRPr="00577C42">
        <w:rPr>
          <w:color w:val="auto"/>
        </w:rPr>
        <w:lastRenderedPageBreak/>
        <w:t>A major example of an attempt at environmental integration and coherence within the U</w:t>
      </w:r>
      <w:r w:rsidR="00090A52" w:rsidRPr="00577C42">
        <w:rPr>
          <w:color w:val="auto"/>
        </w:rPr>
        <w:t xml:space="preserve">nited </w:t>
      </w:r>
      <w:r w:rsidRPr="00577C42">
        <w:rPr>
          <w:color w:val="auto"/>
        </w:rPr>
        <w:t>N</w:t>
      </w:r>
      <w:r w:rsidR="00090A52" w:rsidRPr="00577C42">
        <w:rPr>
          <w:color w:val="auto"/>
        </w:rPr>
        <w:t>ations</w:t>
      </w:r>
      <w:r w:rsidRPr="00577C42">
        <w:rPr>
          <w:color w:val="auto"/>
        </w:rPr>
        <w:t xml:space="preserve"> environmental umbrella are the SDGs (</w:t>
      </w:r>
      <w:r w:rsidR="00214DE3" w:rsidRPr="00577C42">
        <w:rPr>
          <w:color w:val="auto"/>
        </w:rPr>
        <w:t>United Nations General Assembly [</w:t>
      </w:r>
      <w:r w:rsidRPr="00577C42">
        <w:rPr>
          <w:color w:val="auto"/>
        </w:rPr>
        <w:t>UNGA</w:t>
      </w:r>
      <w:r w:rsidR="00214DE3" w:rsidRPr="00577C42">
        <w:rPr>
          <w:color w:val="auto"/>
        </w:rPr>
        <w:t>]</w:t>
      </w:r>
      <w:r w:rsidRPr="00577C42">
        <w:rPr>
          <w:color w:val="auto"/>
        </w:rPr>
        <w:t xml:space="preserve"> </w:t>
      </w:r>
      <w:r w:rsidR="00FA1C78" w:rsidRPr="00C032D3">
        <w:rPr>
          <w:color w:val="auto"/>
        </w:rPr>
        <w:t>2015</w:t>
      </w:r>
      <w:r w:rsidRPr="00577C42">
        <w:rPr>
          <w:color w:val="auto"/>
        </w:rPr>
        <w:t xml:space="preserve">). </w:t>
      </w:r>
      <w:r w:rsidR="00AE34BC" w:rsidRPr="00577C42">
        <w:rPr>
          <w:color w:val="auto"/>
        </w:rPr>
        <w:t xml:space="preserve">The SDGs encompass major environmental areas such as climate change, </w:t>
      </w:r>
      <w:r w:rsidR="00FA1C78" w:rsidRPr="00577C42">
        <w:rPr>
          <w:color w:val="auto"/>
        </w:rPr>
        <w:t>chem</w:t>
      </w:r>
      <w:r w:rsidR="00FA1C78" w:rsidRPr="00C032D3">
        <w:rPr>
          <w:color w:val="auto"/>
        </w:rPr>
        <w:t>i</w:t>
      </w:r>
      <w:r w:rsidR="00AE34BC" w:rsidRPr="00577C42">
        <w:rPr>
          <w:color w:val="auto"/>
        </w:rPr>
        <w:t xml:space="preserve">cal pollution, waste, and marine and terrestrial ecosystems, but they also </w:t>
      </w:r>
      <w:r w:rsidR="00ED2AAC" w:rsidRPr="00577C42">
        <w:rPr>
          <w:color w:val="auto"/>
        </w:rPr>
        <w:t xml:space="preserve">include </w:t>
      </w:r>
      <w:r w:rsidR="00AE34BC" w:rsidRPr="00577C42">
        <w:rPr>
          <w:color w:val="auto"/>
        </w:rPr>
        <w:t>social, economic and institutional development objectives applicable to both low-income and high-income countries, such as access to food, water, sanitation, energy, health, education</w:t>
      </w:r>
      <w:r w:rsidR="00ED2AAC" w:rsidRPr="00577C42">
        <w:rPr>
          <w:color w:val="auto"/>
        </w:rPr>
        <w:t xml:space="preserve"> and</w:t>
      </w:r>
      <w:r w:rsidR="00AE34BC" w:rsidRPr="00577C42">
        <w:rPr>
          <w:color w:val="auto"/>
        </w:rPr>
        <w:t xml:space="preserve"> justice, and </w:t>
      </w:r>
      <w:r w:rsidR="00ED2AAC" w:rsidRPr="00577C42">
        <w:rPr>
          <w:color w:val="auto"/>
        </w:rPr>
        <w:t xml:space="preserve">the </w:t>
      </w:r>
      <w:r w:rsidR="00AE34BC" w:rsidRPr="00577C42">
        <w:rPr>
          <w:color w:val="auto"/>
        </w:rPr>
        <w:t xml:space="preserve">development of infrastructure, cities, employment and growth (Nilsson and Persson </w:t>
      </w:r>
      <w:r w:rsidR="00FA1C78" w:rsidRPr="00C032D3">
        <w:rPr>
          <w:color w:val="auto"/>
        </w:rPr>
        <w:t>2017</w:t>
      </w:r>
      <w:r w:rsidR="00AE34BC" w:rsidRPr="00577C42">
        <w:rPr>
          <w:color w:val="auto"/>
        </w:rPr>
        <w:t xml:space="preserve">). </w:t>
      </w:r>
      <w:r w:rsidRPr="00577C42">
        <w:rPr>
          <w:color w:val="auto"/>
        </w:rPr>
        <w:t xml:space="preserve">The SDGs mark a historic shift for the United Nations </w:t>
      </w:r>
      <w:r w:rsidR="00FA1C78" w:rsidRPr="00C032D3">
        <w:rPr>
          <w:color w:val="auto"/>
        </w:rPr>
        <w:t>towards</w:t>
      </w:r>
      <w:r w:rsidRPr="00577C42">
        <w:rPr>
          <w:color w:val="auto"/>
        </w:rPr>
        <w:t xml:space="preserve"> a unique </w:t>
      </w:r>
      <w:r w:rsidR="00FA1C78" w:rsidRPr="00577C42">
        <w:rPr>
          <w:color w:val="auto"/>
        </w:rPr>
        <w:t>‘</w:t>
      </w:r>
      <w:r w:rsidRPr="00577C42">
        <w:rPr>
          <w:color w:val="auto"/>
        </w:rPr>
        <w:t>sustainable</w:t>
      </w:r>
      <w:r w:rsidR="00FA1C78" w:rsidRPr="00577C42">
        <w:rPr>
          <w:color w:val="auto"/>
        </w:rPr>
        <w:t>’</w:t>
      </w:r>
      <w:r w:rsidRPr="00577C42">
        <w:rPr>
          <w:color w:val="auto"/>
        </w:rPr>
        <w:t xml:space="preserve"> development agenda after a long history of trying to integrate economic and social development with environmental sustainability. Before the SDGs, international agreements were more fragmented and sectoral, and while environmental integration was regularly mentioned on paper</w:t>
      </w:r>
      <w:r w:rsidR="00ED2AAC" w:rsidRPr="00577C42">
        <w:rPr>
          <w:color w:val="auto"/>
        </w:rPr>
        <w:t>,</w:t>
      </w:r>
      <w:r w:rsidRPr="00577C42">
        <w:rPr>
          <w:color w:val="auto"/>
        </w:rPr>
        <w:t xml:space="preserve"> it was rarely translated into </w:t>
      </w:r>
      <w:r w:rsidR="00FA1C78" w:rsidRPr="00C032D3">
        <w:rPr>
          <w:color w:val="auto"/>
        </w:rPr>
        <w:t>practice</w:t>
      </w:r>
      <w:r w:rsidRPr="00577C42">
        <w:rPr>
          <w:color w:val="auto"/>
        </w:rPr>
        <w:t xml:space="preserve">. </w:t>
      </w:r>
      <w:r w:rsidR="00DA390F" w:rsidRPr="00577C42">
        <w:rPr>
          <w:color w:val="auto"/>
        </w:rPr>
        <w:t xml:space="preserve">Of course, the effectiveness </w:t>
      </w:r>
      <w:r w:rsidR="008472A3" w:rsidRPr="00577C42">
        <w:rPr>
          <w:color w:val="auto"/>
        </w:rPr>
        <w:t>of the holistic, indivisible approach recommended for the SDGs remains to be seen.</w:t>
      </w:r>
    </w:p>
    <w:p w14:paraId="72FEF087" w14:textId="7D0004CF" w:rsidR="00FA1C78" w:rsidRPr="00577C42" w:rsidRDefault="00BC143A" w:rsidP="00086545">
      <w:pPr>
        <w:rPr>
          <w:color w:val="auto"/>
        </w:rPr>
      </w:pPr>
      <w:r>
        <w:rPr>
          <w:color w:val="auto"/>
        </w:rPr>
        <w:t xml:space="preserve">Chapters 12-17 </w:t>
      </w:r>
      <w:r w:rsidR="008816C2" w:rsidRPr="00577C42">
        <w:rPr>
          <w:color w:val="auto"/>
        </w:rPr>
        <w:t>identif</w:t>
      </w:r>
      <w:r w:rsidR="00D273A9">
        <w:rPr>
          <w:color w:val="auto"/>
        </w:rPr>
        <w:t>y</w:t>
      </w:r>
      <w:r w:rsidR="008816C2" w:rsidRPr="00577C42">
        <w:rPr>
          <w:color w:val="auto"/>
        </w:rPr>
        <w:t xml:space="preserve"> examples of regulatory and other </w:t>
      </w:r>
      <w:r w:rsidR="008C7797" w:rsidRPr="00577C42">
        <w:rPr>
          <w:color w:val="auto"/>
        </w:rPr>
        <w:t xml:space="preserve">policy instruments </w:t>
      </w:r>
      <w:r w:rsidR="008816C2" w:rsidRPr="00577C42">
        <w:rPr>
          <w:color w:val="auto"/>
        </w:rPr>
        <w:t xml:space="preserve">that have demonstrated some utility for policy integration and coherence. Regulatory policies have emerged in most countries over the last two decades under the umbrella of so-called </w:t>
      </w:r>
      <w:r w:rsidR="00FA1C78" w:rsidRPr="00577C42">
        <w:rPr>
          <w:color w:val="auto"/>
        </w:rPr>
        <w:t>‘</w:t>
      </w:r>
      <w:r w:rsidR="008816C2" w:rsidRPr="00577C42">
        <w:rPr>
          <w:color w:val="auto"/>
        </w:rPr>
        <w:t>better regulation policies</w:t>
      </w:r>
      <w:r w:rsidR="00FA1C78" w:rsidRPr="00577C42">
        <w:rPr>
          <w:color w:val="auto"/>
        </w:rPr>
        <w:t>’</w:t>
      </w:r>
      <w:r w:rsidR="008816C2" w:rsidRPr="00577C42">
        <w:rPr>
          <w:color w:val="auto"/>
        </w:rPr>
        <w:t xml:space="preserve"> (</w:t>
      </w:r>
      <w:proofErr w:type="spellStart"/>
      <w:r w:rsidR="008816C2" w:rsidRPr="00577C42">
        <w:rPr>
          <w:color w:val="auto"/>
        </w:rPr>
        <w:t>Turnpenny</w:t>
      </w:r>
      <w:proofErr w:type="spellEnd"/>
      <w:r w:rsidR="008816C2" w:rsidRPr="00577C42">
        <w:rPr>
          <w:color w:val="auto"/>
        </w:rPr>
        <w:t xml:space="preserve"> </w:t>
      </w:r>
      <w:r w:rsidR="008816C2" w:rsidRPr="00577C42">
        <w:rPr>
          <w:i/>
          <w:color w:val="auto"/>
        </w:rPr>
        <w:t>et al.</w:t>
      </w:r>
      <w:r w:rsidR="008816C2" w:rsidRPr="00577C42">
        <w:rPr>
          <w:color w:val="auto"/>
        </w:rPr>
        <w:t xml:space="preserve"> </w:t>
      </w:r>
      <w:r w:rsidR="00FA1C78" w:rsidRPr="00C032D3">
        <w:rPr>
          <w:color w:val="auto"/>
        </w:rPr>
        <w:t>2009</w:t>
      </w:r>
      <w:r w:rsidR="008816C2" w:rsidRPr="00577C42">
        <w:rPr>
          <w:color w:val="auto"/>
        </w:rPr>
        <w:t xml:space="preserve">; </w:t>
      </w:r>
      <w:r w:rsidR="00214DE3" w:rsidRPr="00577C42">
        <w:rPr>
          <w:color w:val="auto"/>
        </w:rPr>
        <w:t xml:space="preserve">De </w:t>
      </w:r>
      <w:r w:rsidR="008816C2" w:rsidRPr="00577C42">
        <w:rPr>
          <w:color w:val="auto"/>
        </w:rPr>
        <w:t xml:space="preserve">Francesco </w:t>
      </w:r>
      <w:r w:rsidR="00FA1C78" w:rsidRPr="00C032D3">
        <w:rPr>
          <w:color w:val="auto"/>
        </w:rPr>
        <w:t>2012</w:t>
      </w:r>
      <w:r w:rsidR="008816C2" w:rsidRPr="00577C42">
        <w:rPr>
          <w:color w:val="auto"/>
        </w:rPr>
        <w:t xml:space="preserve">; Adelle </w:t>
      </w:r>
      <w:r w:rsidR="008816C2" w:rsidRPr="00577C42">
        <w:rPr>
          <w:i/>
          <w:color w:val="auto"/>
        </w:rPr>
        <w:t>et al.</w:t>
      </w:r>
      <w:r w:rsidR="008816C2" w:rsidRPr="00577C42">
        <w:rPr>
          <w:color w:val="auto"/>
        </w:rPr>
        <w:t xml:space="preserve"> </w:t>
      </w:r>
      <w:r w:rsidR="00FA1C78" w:rsidRPr="00C032D3">
        <w:rPr>
          <w:color w:val="auto"/>
        </w:rPr>
        <w:t>2015</w:t>
      </w:r>
      <w:r w:rsidR="008816C2" w:rsidRPr="00577C42">
        <w:rPr>
          <w:color w:val="auto"/>
        </w:rPr>
        <w:t>). In many countries the</w:t>
      </w:r>
      <w:r w:rsidR="00D273A9">
        <w:rPr>
          <w:color w:val="auto"/>
        </w:rPr>
        <w:t>se</w:t>
      </w:r>
      <w:r w:rsidR="008816C2" w:rsidRPr="00577C42">
        <w:rPr>
          <w:color w:val="auto"/>
        </w:rPr>
        <w:t xml:space="preserve"> have led to the establishment of institutions and the adoption of instruments and processes, such as regulatory impact assessments, participat</w:t>
      </w:r>
      <w:r w:rsidR="00D273A9">
        <w:rPr>
          <w:color w:val="auto"/>
        </w:rPr>
        <w:t>ory approaches</w:t>
      </w:r>
      <w:r w:rsidR="008816C2" w:rsidRPr="00577C42">
        <w:rPr>
          <w:color w:val="auto"/>
        </w:rPr>
        <w:t xml:space="preserve"> and </w:t>
      </w:r>
      <w:r w:rsidR="008816C2" w:rsidRPr="00577C42">
        <w:rPr>
          <w:i/>
          <w:color w:val="auto"/>
        </w:rPr>
        <w:t>ex post</w:t>
      </w:r>
      <w:r w:rsidR="008816C2" w:rsidRPr="00577C42">
        <w:rPr>
          <w:color w:val="auto"/>
        </w:rPr>
        <w:t xml:space="preserve"> evaluation. Initially, this was motivated by concerns to cut </w:t>
      </w:r>
      <w:r w:rsidR="00EE2880" w:rsidRPr="00577C42">
        <w:rPr>
          <w:color w:val="auto"/>
        </w:rPr>
        <w:t xml:space="preserve">the </w:t>
      </w:r>
      <w:r w:rsidR="008816C2" w:rsidRPr="00577C42">
        <w:rPr>
          <w:color w:val="auto"/>
        </w:rPr>
        <w:t xml:space="preserve">costs of regulation and deregulation. However, in some countries these instruments were broadened in their scope and </w:t>
      </w:r>
      <w:r w:rsidR="00D273A9">
        <w:rPr>
          <w:color w:val="auto"/>
        </w:rPr>
        <w:t xml:space="preserve">used </w:t>
      </w:r>
      <w:r w:rsidR="008816C2" w:rsidRPr="00577C42">
        <w:rPr>
          <w:color w:val="auto"/>
        </w:rPr>
        <w:t xml:space="preserve">to promote the integration of concerns </w:t>
      </w:r>
      <w:r w:rsidR="00D273A9">
        <w:rPr>
          <w:color w:val="auto"/>
        </w:rPr>
        <w:t xml:space="preserve">about </w:t>
      </w:r>
      <w:r w:rsidR="008816C2" w:rsidRPr="00577C42">
        <w:rPr>
          <w:color w:val="auto"/>
        </w:rPr>
        <w:t>sustainable development into policymaking (</w:t>
      </w:r>
      <w:proofErr w:type="spellStart"/>
      <w:r w:rsidR="008816C2" w:rsidRPr="00577C42">
        <w:rPr>
          <w:color w:val="auto"/>
        </w:rPr>
        <w:t>B</w:t>
      </w:r>
      <w:r w:rsidR="00214DE3" w:rsidRPr="00577C42">
        <w:rPr>
          <w:color w:val="auto"/>
        </w:rPr>
        <w:t>ä</w:t>
      </w:r>
      <w:r w:rsidR="008816C2" w:rsidRPr="00577C42">
        <w:rPr>
          <w:color w:val="auto"/>
        </w:rPr>
        <w:t>cklund</w:t>
      </w:r>
      <w:proofErr w:type="spellEnd"/>
      <w:r w:rsidR="008816C2" w:rsidRPr="00577C42">
        <w:rPr>
          <w:color w:val="auto"/>
        </w:rPr>
        <w:t xml:space="preserve"> </w:t>
      </w:r>
      <w:r w:rsidR="00FA1C78" w:rsidRPr="00C032D3">
        <w:rPr>
          <w:color w:val="auto"/>
        </w:rPr>
        <w:t>2009</w:t>
      </w:r>
      <w:r w:rsidR="008816C2" w:rsidRPr="00577C42">
        <w:rPr>
          <w:color w:val="auto"/>
        </w:rPr>
        <w:t xml:space="preserve">; Adelle and Weiland </w:t>
      </w:r>
      <w:r w:rsidR="00FA1C78" w:rsidRPr="00C032D3">
        <w:rPr>
          <w:color w:val="auto"/>
        </w:rPr>
        <w:t>2012</w:t>
      </w:r>
      <w:r w:rsidR="008816C2" w:rsidRPr="00577C42">
        <w:rPr>
          <w:color w:val="auto"/>
        </w:rPr>
        <w:t xml:space="preserve">; Renda </w:t>
      </w:r>
      <w:r w:rsidR="00FA1C78" w:rsidRPr="00C032D3">
        <w:rPr>
          <w:color w:val="auto"/>
        </w:rPr>
        <w:t>2017</w:t>
      </w:r>
      <w:r w:rsidR="008816C2" w:rsidRPr="00577C42">
        <w:rPr>
          <w:color w:val="auto"/>
        </w:rPr>
        <w:t>).</w:t>
      </w:r>
    </w:p>
    <w:p w14:paraId="0453CB56" w14:textId="070811C9" w:rsidR="00FA1C78" w:rsidRPr="00577C42" w:rsidRDefault="008816C2" w:rsidP="00086545">
      <w:pPr>
        <w:rPr>
          <w:color w:val="auto"/>
        </w:rPr>
      </w:pPr>
      <w:r w:rsidRPr="00577C42">
        <w:rPr>
          <w:color w:val="auto"/>
        </w:rPr>
        <w:t xml:space="preserve">The SDGs (target 17.4) emphasize the need to “enhance policy coherence for sustainable development” (OECD </w:t>
      </w:r>
      <w:r w:rsidR="00FA1C78" w:rsidRPr="00C032D3">
        <w:rPr>
          <w:color w:val="auto"/>
        </w:rPr>
        <w:t>2016</w:t>
      </w:r>
      <w:r w:rsidRPr="00577C42">
        <w:rPr>
          <w:color w:val="auto"/>
        </w:rPr>
        <w:t xml:space="preserve">). A key lesson learned is to ensure policy coherence between different levels of governance and across economic, social and environmental domains. Accordingly, it is not </w:t>
      </w:r>
      <w:proofErr w:type="gramStart"/>
      <w:r w:rsidRPr="00577C42">
        <w:rPr>
          <w:color w:val="auto"/>
        </w:rPr>
        <w:t>sufficient</w:t>
      </w:r>
      <w:proofErr w:type="gramEnd"/>
      <w:r w:rsidRPr="00577C42">
        <w:rPr>
          <w:color w:val="auto"/>
        </w:rPr>
        <w:t xml:space="preserve"> to consider environmental policies as separate from </w:t>
      </w:r>
      <w:r w:rsidR="00FA1C78" w:rsidRPr="00C032D3">
        <w:rPr>
          <w:color w:val="auto"/>
        </w:rPr>
        <w:t>macro</w:t>
      </w:r>
      <w:r w:rsidRPr="00577C42">
        <w:rPr>
          <w:color w:val="auto"/>
        </w:rPr>
        <w:t xml:space="preserve">economic or sectoral policies, which often act as drivers of environmental degradation, or from social policies that attempt to address the human impacts of environmental damage. </w:t>
      </w:r>
      <w:r w:rsidR="00B530BA">
        <w:rPr>
          <w:color w:val="auto"/>
        </w:rPr>
        <w:t xml:space="preserve">It is possible to see in the </w:t>
      </w:r>
      <w:r w:rsidRPr="00577C42">
        <w:rPr>
          <w:color w:val="auto"/>
        </w:rPr>
        <w:t xml:space="preserve">case studies in </w:t>
      </w:r>
      <w:r w:rsidR="00BC143A">
        <w:rPr>
          <w:color w:val="auto"/>
        </w:rPr>
        <w:t>Chapters 12-17</w:t>
      </w:r>
      <w:r w:rsidR="00B530BA">
        <w:rPr>
          <w:color w:val="auto"/>
        </w:rPr>
        <w:t xml:space="preserve"> that</w:t>
      </w:r>
      <w:r w:rsidRPr="00577C42">
        <w:rPr>
          <w:color w:val="auto"/>
        </w:rPr>
        <w:t xml:space="preserve"> these other policies often act as enabling or constraining factors in achieving environmental policy effectiveness. When analysing policy coherence</w:t>
      </w:r>
      <w:r w:rsidR="00EE2880" w:rsidRPr="00577C42">
        <w:rPr>
          <w:color w:val="auto"/>
        </w:rPr>
        <w:t>,</w:t>
      </w:r>
      <w:r w:rsidRPr="00577C42">
        <w:rPr>
          <w:color w:val="auto"/>
        </w:rPr>
        <w:t xml:space="preserve"> </w:t>
      </w:r>
      <w:r w:rsidR="00FA1C78" w:rsidRPr="00C032D3">
        <w:rPr>
          <w:color w:val="auto"/>
        </w:rPr>
        <w:t>policymak</w:t>
      </w:r>
      <w:r w:rsidRPr="00577C42">
        <w:rPr>
          <w:color w:val="auto"/>
        </w:rPr>
        <w:t xml:space="preserve">ers also need to consider </w:t>
      </w:r>
      <w:r w:rsidR="004D531D" w:rsidRPr="00577C42">
        <w:rPr>
          <w:color w:val="auto"/>
        </w:rPr>
        <w:t>long-term</w:t>
      </w:r>
      <w:r w:rsidRPr="00577C42">
        <w:rPr>
          <w:color w:val="auto"/>
        </w:rPr>
        <w:t xml:space="preserve"> as </w:t>
      </w:r>
      <w:r w:rsidR="00FA1C78" w:rsidRPr="00C032D3">
        <w:rPr>
          <w:color w:val="auto"/>
        </w:rPr>
        <w:t>well</w:t>
      </w:r>
      <w:r w:rsidRPr="00577C42">
        <w:rPr>
          <w:color w:val="auto"/>
        </w:rPr>
        <w:t xml:space="preserve"> as short-term impacts (OECD </w:t>
      </w:r>
      <w:r w:rsidR="00FA1C78" w:rsidRPr="00C032D3">
        <w:rPr>
          <w:color w:val="auto"/>
        </w:rPr>
        <w:t>2016</w:t>
      </w:r>
      <w:r w:rsidRPr="00577C42">
        <w:rPr>
          <w:color w:val="auto"/>
        </w:rPr>
        <w:t>).</w:t>
      </w:r>
    </w:p>
    <w:p w14:paraId="60276216" w14:textId="77777777" w:rsidR="00FA1C78" w:rsidRPr="00577C42" w:rsidRDefault="008816C2" w:rsidP="00B04299">
      <w:pPr>
        <w:pStyle w:val="Heading3"/>
      </w:pPr>
      <w:bookmarkStart w:id="67" w:name="_i2em5zln0gfo" w:colFirst="0" w:colLast="0"/>
      <w:bookmarkStart w:id="68" w:name="_Toc511747976"/>
      <w:bookmarkEnd w:id="67"/>
      <w:r w:rsidRPr="00577C42">
        <w:t>Integration of environmental aspects in regulatory policies</w:t>
      </w:r>
      <w:bookmarkEnd w:id="68"/>
    </w:p>
    <w:p w14:paraId="37E188F0" w14:textId="5B9F0929" w:rsidR="00FA1C78" w:rsidRPr="00577C42" w:rsidRDefault="008816C2" w:rsidP="00086545">
      <w:pPr>
        <w:rPr>
          <w:color w:val="auto"/>
        </w:rPr>
      </w:pPr>
      <w:r w:rsidRPr="00577C42">
        <w:rPr>
          <w:color w:val="auto"/>
        </w:rPr>
        <w:t>Integrating environmental concerns and policy objectives into different policy domains comprises the cornerstone of EPI (</w:t>
      </w:r>
      <w:proofErr w:type="spellStart"/>
      <w:r w:rsidRPr="00577C42">
        <w:rPr>
          <w:color w:val="auto"/>
        </w:rPr>
        <w:t>Runhaar</w:t>
      </w:r>
      <w:proofErr w:type="spellEnd"/>
      <w:r w:rsidR="00214DE3" w:rsidRPr="00577C42">
        <w:rPr>
          <w:color w:val="auto"/>
        </w:rPr>
        <w:t xml:space="preserve">, Driessen and </w:t>
      </w:r>
      <w:proofErr w:type="spellStart"/>
      <w:r w:rsidR="00214DE3" w:rsidRPr="00577C42">
        <w:rPr>
          <w:color w:val="auto"/>
        </w:rPr>
        <w:t>Uittenbroek</w:t>
      </w:r>
      <w:proofErr w:type="spellEnd"/>
      <w:r w:rsidR="00214DE3" w:rsidRPr="00577C42">
        <w:rPr>
          <w:color w:val="auto"/>
        </w:rPr>
        <w:t xml:space="preserve"> </w:t>
      </w:r>
      <w:r w:rsidR="00FA1C78" w:rsidRPr="00C032D3">
        <w:rPr>
          <w:color w:val="auto"/>
        </w:rPr>
        <w:t>2014</w:t>
      </w:r>
      <w:r w:rsidRPr="00577C42">
        <w:rPr>
          <w:color w:val="auto"/>
        </w:rPr>
        <w:t xml:space="preserve">). Ensuring that such concerns and policy objectives are incorporated in the </w:t>
      </w:r>
      <w:r w:rsidR="00B530BA">
        <w:rPr>
          <w:color w:val="auto"/>
        </w:rPr>
        <w:t xml:space="preserve">development </w:t>
      </w:r>
      <w:r w:rsidRPr="00577C42">
        <w:rPr>
          <w:color w:val="auto"/>
        </w:rPr>
        <w:t xml:space="preserve">of legislation may prove critical in promoting EPI (Jacob </w:t>
      </w:r>
      <w:r w:rsidRPr="00577C42">
        <w:rPr>
          <w:i/>
          <w:color w:val="auto"/>
        </w:rPr>
        <w:t>et al.</w:t>
      </w:r>
      <w:r w:rsidRPr="00577C42">
        <w:rPr>
          <w:color w:val="auto"/>
        </w:rPr>
        <w:t xml:space="preserve"> </w:t>
      </w:r>
      <w:r w:rsidR="00FA1C78" w:rsidRPr="00C032D3">
        <w:rPr>
          <w:color w:val="auto"/>
        </w:rPr>
        <w:t>2011</w:t>
      </w:r>
      <w:r w:rsidRPr="00577C42">
        <w:rPr>
          <w:color w:val="auto"/>
        </w:rPr>
        <w:t xml:space="preserve">). Many countries have </w:t>
      </w:r>
      <w:r w:rsidRPr="00577C42">
        <w:rPr>
          <w:color w:val="auto"/>
        </w:rPr>
        <w:lastRenderedPageBreak/>
        <w:t>adopted approaches/instruments to assess the potential impacts of proposed legislation on stakeholders, economic sectors and the environment (</w:t>
      </w:r>
      <w:proofErr w:type="spellStart"/>
      <w:r w:rsidR="00214DE3" w:rsidRPr="00577C42">
        <w:rPr>
          <w:color w:val="auto"/>
        </w:rPr>
        <w:t>Radaelli</w:t>
      </w:r>
      <w:proofErr w:type="spellEnd"/>
      <w:r w:rsidR="00214DE3" w:rsidRPr="00577C42">
        <w:rPr>
          <w:color w:val="auto"/>
        </w:rPr>
        <w:t xml:space="preserve"> </w:t>
      </w:r>
      <w:r w:rsidR="00FA1C78" w:rsidRPr="00C032D3">
        <w:rPr>
          <w:color w:val="auto"/>
        </w:rPr>
        <w:t>2009</w:t>
      </w:r>
      <w:r w:rsidR="00214DE3" w:rsidRPr="00577C42">
        <w:rPr>
          <w:color w:val="auto"/>
        </w:rPr>
        <w:t xml:space="preserve">; Jacob </w:t>
      </w:r>
      <w:r w:rsidR="00214DE3" w:rsidRPr="00577C42">
        <w:rPr>
          <w:i/>
          <w:color w:val="auto"/>
        </w:rPr>
        <w:t>et al.</w:t>
      </w:r>
      <w:r w:rsidR="00214DE3" w:rsidRPr="00577C42">
        <w:rPr>
          <w:color w:val="auto"/>
        </w:rPr>
        <w:t xml:space="preserve"> </w:t>
      </w:r>
      <w:r w:rsidR="00FA1C78" w:rsidRPr="00C032D3">
        <w:rPr>
          <w:color w:val="auto"/>
        </w:rPr>
        <w:t>2011</w:t>
      </w:r>
      <w:r w:rsidR="00214DE3" w:rsidRPr="00577C42">
        <w:rPr>
          <w:color w:val="auto"/>
        </w:rPr>
        <w:t xml:space="preserve">; </w:t>
      </w:r>
      <w:r w:rsidRPr="00577C42">
        <w:rPr>
          <w:color w:val="auto"/>
        </w:rPr>
        <w:t xml:space="preserve">Adelle and Weiland </w:t>
      </w:r>
      <w:r w:rsidR="00FA1C78" w:rsidRPr="00C032D3">
        <w:rPr>
          <w:color w:val="auto"/>
        </w:rPr>
        <w:t>2012</w:t>
      </w:r>
      <w:r w:rsidRPr="00577C42">
        <w:rPr>
          <w:color w:val="auto"/>
        </w:rPr>
        <w:t xml:space="preserve">; Adelle </w:t>
      </w:r>
      <w:r w:rsidRPr="00577C42">
        <w:rPr>
          <w:i/>
          <w:color w:val="auto"/>
        </w:rPr>
        <w:t>et al.</w:t>
      </w:r>
      <w:r w:rsidRPr="00577C42">
        <w:rPr>
          <w:color w:val="auto"/>
        </w:rPr>
        <w:t xml:space="preserve"> </w:t>
      </w:r>
      <w:r w:rsidR="00FA1C78" w:rsidRPr="00C032D3">
        <w:rPr>
          <w:color w:val="auto"/>
        </w:rPr>
        <w:t>2016</w:t>
      </w:r>
      <w:r w:rsidRPr="00577C42">
        <w:rPr>
          <w:color w:val="auto"/>
        </w:rPr>
        <w:t xml:space="preserve">). In OECD countries, </w:t>
      </w:r>
      <w:r w:rsidRPr="00577C42">
        <w:rPr>
          <w:i/>
          <w:color w:val="auto"/>
        </w:rPr>
        <w:t>ex ante</w:t>
      </w:r>
      <w:r w:rsidRPr="00577C42">
        <w:rPr>
          <w:color w:val="auto"/>
        </w:rPr>
        <w:t xml:space="preserve"> assessment of regulatory policies has become a standard administrative procedure. For example, </w:t>
      </w:r>
      <w:r w:rsidR="00EE2880" w:rsidRPr="00577C42">
        <w:rPr>
          <w:color w:val="auto"/>
        </w:rPr>
        <w:t xml:space="preserve">the </w:t>
      </w:r>
      <w:r w:rsidR="00FA1C78" w:rsidRPr="00C032D3">
        <w:rPr>
          <w:color w:val="auto"/>
        </w:rPr>
        <w:t>Netherlands</w:t>
      </w:r>
      <w:r w:rsidRPr="00577C42">
        <w:rPr>
          <w:color w:val="auto"/>
        </w:rPr>
        <w:t xml:space="preserve"> demands such an assessment for all new laws, orders in councils and proposed amendments; in Canada, a key part of the regulatory process is describing how government actions affect citizens; and in Australia, it is mandatory for proposed legislation and tax-related reforms to include </w:t>
      </w:r>
      <w:r w:rsidR="00A33D7F" w:rsidRPr="00577C42">
        <w:rPr>
          <w:color w:val="auto"/>
        </w:rPr>
        <w:t xml:space="preserve">regulatory impact statements and </w:t>
      </w:r>
      <w:r w:rsidRPr="00577C42">
        <w:rPr>
          <w:color w:val="auto"/>
        </w:rPr>
        <w:t xml:space="preserve">assessment (Jacob </w:t>
      </w:r>
      <w:r w:rsidRPr="00577C42">
        <w:rPr>
          <w:i/>
          <w:color w:val="auto"/>
        </w:rPr>
        <w:t>et al.</w:t>
      </w:r>
      <w:r w:rsidRPr="00577C42">
        <w:rPr>
          <w:color w:val="auto"/>
        </w:rPr>
        <w:t xml:space="preserve"> </w:t>
      </w:r>
      <w:r w:rsidR="00FA1C78" w:rsidRPr="00C032D3">
        <w:rPr>
          <w:color w:val="auto"/>
        </w:rPr>
        <w:t>2011</w:t>
      </w:r>
      <w:r w:rsidRPr="00577C42">
        <w:rPr>
          <w:color w:val="auto"/>
        </w:rPr>
        <w:t>).</w:t>
      </w:r>
    </w:p>
    <w:p w14:paraId="56177DD8" w14:textId="7F2F4C1F" w:rsidR="00B530BA" w:rsidRDefault="00CC232B" w:rsidP="00086545">
      <w:pPr>
        <w:rPr>
          <w:color w:val="auto"/>
        </w:rPr>
      </w:pPr>
      <w:r w:rsidRPr="00577C42">
        <w:rPr>
          <w:color w:val="auto"/>
        </w:rPr>
        <w:t xml:space="preserve">To effectively address climate change, </w:t>
      </w:r>
      <w:r w:rsidR="00AE34BC" w:rsidRPr="00577C42">
        <w:rPr>
          <w:color w:val="auto"/>
        </w:rPr>
        <w:t xml:space="preserve">Di Gregorio </w:t>
      </w:r>
      <w:r w:rsidR="00AE34BC" w:rsidRPr="00577C42">
        <w:rPr>
          <w:i/>
          <w:color w:val="auto"/>
        </w:rPr>
        <w:t>et al.</w:t>
      </w:r>
      <w:r w:rsidR="00AE34BC" w:rsidRPr="00577C42">
        <w:rPr>
          <w:color w:val="auto"/>
        </w:rPr>
        <w:t xml:space="preserve"> (</w:t>
      </w:r>
      <w:r w:rsidR="00FA1C78" w:rsidRPr="00C032D3">
        <w:rPr>
          <w:color w:val="auto"/>
        </w:rPr>
        <w:t>2017</w:t>
      </w:r>
      <w:r w:rsidR="00AE34BC" w:rsidRPr="00577C42">
        <w:rPr>
          <w:color w:val="auto"/>
        </w:rPr>
        <w:t xml:space="preserve">) </w:t>
      </w:r>
      <w:r w:rsidR="00795F50" w:rsidRPr="00577C42">
        <w:rPr>
          <w:color w:val="auto"/>
        </w:rPr>
        <w:t xml:space="preserve">suggest </w:t>
      </w:r>
      <w:r w:rsidR="00AE34BC" w:rsidRPr="00577C42">
        <w:rPr>
          <w:color w:val="auto"/>
        </w:rPr>
        <w:t>that climate policy integration needs</w:t>
      </w:r>
      <w:r w:rsidR="00A12C9B" w:rsidRPr="00577C42">
        <w:rPr>
          <w:color w:val="auto"/>
        </w:rPr>
        <w:t>:</w:t>
      </w:r>
      <w:r w:rsidR="00AE34BC" w:rsidRPr="00577C42">
        <w:rPr>
          <w:color w:val="auto"/>
        </w:rPr>
        <w:t xml:space="preserve"> </w:t>
      </w:r>
    </w:p>
    <w:p w14:paraId="5C32EAE5" w14:textId="77777777" w:rsidR="00B530BA" w:rsidRDefault="00AE34BC" w:rsidP="00FD0DA3">
      <w:pPr>
        <w:pStyle w:val="ListParagraph"/>
        <w:numPr>
          <w:ilvl w:val="0"/>
          <w:numId w:val="18"/>
        </w:numPr>
        <w:rPr>
          <w:color w:val="auto"/>
        </w:rPr>
      </w:pPr>
      <w:r w:rsidRPr="007C367A">
        <w:rPr>
          <w:color w:val="auto"/>
        </w:rPr>
        <w:t>policy coherence between mitigation and adaptation;</w:t>
      </w:r>
    </w:p>
    <w:p w14:paraId="35A61712" w14:textId="5488467C" w:rsidR="00B530BA" w:rsidRDefault="00AE34BC" w:rsidP="00FD0DA3">
      <w:pPr>
        <w:pStyle w:val="ListParagraph"/>
        <w:numPr>
          <w:ilvl w:val="0"/>
          <w:numId w:val="18"/>
        </w:numPr>
        <w:rPr>
          <w:color w:val="auto"/>
        </w:rPr>
      </w:pPr>
      <w:r w:rsidRPr="007C367A">
        <w:rPr>
          <w:color w:val="auto"/>
        </w:rPr>
        <w:t>policy coherence between climate change and development objectives;</w:t>
      </w:r>
    </w:p>
    <w:p w14:paraId="2ABE206E" w14:textId="0B04DB64" w:rsidR="00B530BA" w:rsidRDefault="00AE34BC" w:rsidP="00FD0DA3">
      <w:pPr>
        <w:pStyle w:val="ListParagraph"/>
        <w:numPr>
          <w:ilvl w:val="0"/>
          <w:numId w:val="18"/>
        </w:numPr>
        <w:rPr>
          <w:color w:val="auto"/>
        </w:rPr>
      </w:pPr>
      <w:r w:rsidRPr="007C367A">
        <w:rPr>
          <w:color w:val="auto"/>
        </w:rPr>
        <w:t>vertical policy integration by mainstreaming climate change into sector policies; and</w:t>
      </w:r>
    </w:p>
    <w:p w14:paraId="3F2A9F2F" w14:textId="546144B9" w:rsidR="00B530BA" w:rsidRDefault="00AE34BC" w:rsidP="00FD0DA3">
      <w:pPr>
        <w:pStyle w:val="ListParagraph"/>
        <w:numPr>
          <w:ilvl w:val="0"/>
          <w:numId w:val="18"/>
        </w:numPr>
        <w:rPr>
          <w:color w:val="auto"/>
        </w:rPr>
      </w:pPr>
      <w:r w:rsidRPr="007C367A">
        <w:rPr>
          <w:color w:val="auto"/>
        </w:rPr>
        <w:t xml:space="preserve">horizontal policy integration through cross-sectoral coordination. </w:t>
      </w:r>
    </w:p>
    <w:p w14:paraId="77EAB932" w14:textId="08805ADE" w:rsidR="00FA1C78" w:rsidRPr="007C367A" w:rsidRDefault="00AE34BC" w:rsidP="00B530BA">
      <w:pPr>
        <w:rPr>
          <w:color w:val="auto"/>
        </w:rPr>
      </w:pPr>
      <w:r w:rsidRPr="007C367A">
        <w:rPr>
          <w:color w:val="auto"/>
        </w:rPr>
        <w:t>These multiple dimensions and governance arrangements make effective policy design particularly difficult.</w:t>
      </w:r>
    </w:p>
    <w:p w14:paraId="4C56AF10" w14:textId="77777777" w:rsidR="00B530BA" w:rsidRDefault="008816C2" w:rsidP="00086545">
      <w:pPr>
        <w:rPr>
          <w:color w:val="auto"/>
        </w:rPr>
      </w:pPr>
      <w:r w:rsidRPr="00577C42">
        <w:rPr>
          <w:color w:val="auto"/>
        </w:rPr>
        <w:t xml:space="preserve">Assessment requirements and </w:t>
      </w:r>
      <w:r w:rsidR="00FA1C78" w:rsidRPr="00C032D3">
        <w:rPr>
          <w:color w:val="auto"/>
        </w:rPr>
        <w:t>practice</w:t>
      </w:r>
      <w:r w:rsidR="00B530BA">
        <w:rPr>
          <w:color w:val="auto"/>
        </w:rPr>
        <w:t>s</w:t>
      </w:r>
      <w:r w:rsidRPr="00577C42">
        <w:rPr>
          <w:color w:val="auto"/>
        </w:rPr>
        <w:t xml:space="preserve"> vary across countries, as do the extent to which environmental aspects are considered (</w:t>
      </w:r>
      <w:r w:rsidR="00214DE3" w:rsidRPr="00577C42">
        <w:rPr>
          <w:color w:val="auto"/>
        </w:rPr>
        <w:t xml:space="preserve">Jacob, </w:t>
      </w:r>
      <w:proofErr w:type="spellStart"/>
      <w:r w:rsidR="00214DE3" w:rsidRPr="00577C42">
        <w:rPr>
          <w:color w:val="auto"/>
        </w:rPr>
        <w:t>Volkery</w:t>
      </w:r>
      <w:proofErr w:type="spellEnd"/>
      <w:r w:rsidR="00214DE3" w:rsidRPr="00577C42">
        <w:rPr>
          <w:color w:val="auto"/>
        </w:rPr>
        <w:t xml:space="preserve"> and </w:t>
      </w:r>
      <w:proofErr w:type="spellStart"/>
      <w:r w:rsidR="00214DE3" w:rsidRPr="00577C42">
        <w:rPr>
          <w:color w:val="auto"/>
        </w:rPr>
        <w:t>Lenschow</w:t>
      </w:r>
      <w:proofErr w:type="spellEnd"/>
      <w:r w:rsidR="00214DE3" w:rsidRPr="00577C42">
        <w:rPr>
          <w:color w:val="auto"/>
        </w:rPr>
        <w:t xml:space="preserve"> </w:t>
      </w:r>
      <w:r w:rsidR="00FA1C78" w:rsidRPr="00C032D3">
        <w:rPr>
          <w:color w:val="auto"/>
        </w:rPr>
        <w:t>2008</w:t>
      </w:r>
      <w:r w:rsidR="00214DE3" w:rsidRPr="00577C42">
        <w:rPr>
          <w:color w:val="auto"/>
        </w:rPr>
        <w:t xml:space="preserve">; </w:t>
      </w:r>
      <w:r w:rsidRPr="00577C42">
        <w:rPr>
          <w:color w:val="auto"/>
        </w:rPr>
        <w:t xml:space="preserve">Jacob </w:t>
      </w:r>
      <w:r w:rsidRPr="00577C42">
        <w:rPr>
          <w:i/>
          <w:color w:val="auto"/>
        </w:rPr>
        <w:t>et al.</w:t>
      </w:r>
      <w:r w:rsidRPr="00577C42">
        <w:rPr>
          <w:color w:val="auto"/>
        </w:rPr>
        <w:t xml:space="preserve"> </w:t>
      </w:r>
      <w:r w:rsidR="00FA1C78" w:rsidRPr="00C032D3">
        <w:rPr>
          <w:color w:val="auto"/>
        </w:rPr>
        <w:t>2011</w:t>
      </w:r>
      <w:r w:rsidRPr="00577C42">
        <w:rPr>
          <w:color w:val="auto"/>
        </w:rPr>
        <w:t>). However, among OECD countries, assessments of regulatory policy share four key aspects or objectives:</w:t>
      </w:r>
    </w:p>
    <w:p w14:paraId="3AAF0811" w14:textId="32964C4B" w:rsidR="00B530BA" w:rsidRDefault="008816C2" w:rsidP="00B530BA">
      <w:pPr>
        <w:pStyle w:val="ListParagraph"/>
        <w:numPr>
          <w:ilvl w:val="0"/>
          <w:numId w:val="19"/>
        </w:numPr>
        <w:rPr>
          <w:color w:val="auto"/>
        </w:rPr>
      </w:pPr>
      <w:r w:rsidRPr="007C367A">
        <w:rPr>
          <w:color w:val="auto"/>
        </w:rPr>
        <w:t>assessment of impacts</w:t>
      </w:r>
      <w:r w:rsidR="00A12C9B" w:rsidRPr="007C367A">
        <w:rPr>
          <w:color w:val="auto"/>
        </w:rPr>
        <w:t>;</w:t>
      </w:r>
      <w:r w:rsidRPr="007C367A">
        <w:rPr>
          <w:color w:val="auto"/>
        </w:rPr>
        <w:t xml:space="preserve"> </w:t>
      </w:r>
    </w:p>
    <w:p w14:paraId="59FD26C6" w14:textId="4AF99FFA" w:rsidR="00B530BA" w:rsidRDefault="008816C2" w:rsidP="00B530BA">
      <w:pPr>
        <w:pStyle w:val="ListParagraph"/>
        <w:numPr>
          <w:ilvl w:val="0"/>
          <w:numId w:val="19"/>
        </w:numPr>
        <w:rPr>
          <w:color w:val="auto"/>
        </w:rPr>
      </w:pPr>
      <w:r w:rsidRPr="007C367A">
        <w:rPr>
          <w:color w:val="auto"/>
        </w:rPr>
        <w:t>integration of policies</w:t>
      </w:r>
      <w:r w:rsidR="00A12C9B" w:rsidRPr="007C367A">
        <w:rPr>
          <w:color w:val="auto"/>
        </w:rPr>
        <w:t>;</w:t>
      </w:r>
    </w:p>
    <w:p w14:paraId="333B935D" w14:textId="657B25A4" w:rsidR="00B530BA" w:rsidRDefault="008816C2" w:rsidP="00B530BA">
      <w:pPr>
        <w:pStyle w:val="ListParagraph"/>
        <w:numPr>
          <w:ilvl w:val="0"/>
          <w:numId w:val="19"/>
        </w:numPr>
        <w:rPr>
          <w:color w:val="auto"/>
        </w:rPr>
      </w:pPr>
      <w:r w:rsidRPr="007C367A">
        <w:rPr>
          <w:color w:val="auto"/>
        </w:rPr>
        <w:t>promotion of transparency</w:t>
      </w:r>
      <w:r w:rsidR="00A12C9B" w:rsidRPr="007C367A">
        <w:rPr>
          <w:color w:val="auto"/>
        </w:rPr>
        <w:t>;</w:t>
      </w:r>
      <w:r w:rsidRPr="007C367A">
        <w:rPr>
          <w:color w:val="auto"/>
        </w:rPr>
        <w:t xml:space="preserve"> and </w:t>
      </w:r>
    </w:p>
    <w:p w14:paraId="15EED4E9" w14:textId="405FED07" w:rsidR="00B530BA" w:rsidRDefault="008816C2" w:rsidP="00B530BA">
      <w:pPr>
        <w:pStyle w:val="ListParagraph"/>
        <w:numPr>
          <w:ilvl w:val="0"/>
          <w:numId w:val="19"/>
        </w:numPr>
        <w:rPr>
          <w:color w:val="auto"/>
        </w:rPr>
      </w:pPr>
      <w:r w:rsidRPr="007C367A">
        <w:rPr>
          <w:color w:val="auto"/>
        </w:rPr>
        <w:t>the improvement of accountability (</w:t>
      </w:r>
      <w:proofErr w:type="spellStart"/>
      <w:r w:rsidRPr="007C367A">
        <w:rPr>
          <w:color w:val="auto"/>
        </w:rPr>
        <w:t>Ritzka</w:t>
      </w:r>
      <w:proofErr w:type="spellEnd"/>
      <w:r w:rsidRPr="007C367A">
        <w:rPr>
          <w:color w:val="auto"/>
        </w:rPr>
        <w:t xml:space="preserve"> </w:t>
      </w:r>
      <w:r w:rsidR="00FA1C78" w:rsidRPr="007C367A">
        <w:rPr>
          <w:color w:val="auto"/>
        </w:rPr>
        <w:t>2016</w:t>
      </w:r>
      <w:r w:rsidRPr="007C367A">
        <w:rPr>
          <w:color w:val="auto"/>
        </w:rPr>
        <w:t xml:space="preserve">). </w:t>
      </w:r>
    </w:p>
    <w:p w14:paraId="5298630D" w14:textId="5F63E256" w:rsidR="00FA1C78" w:rsidRPr="007C367A" w:rsidRDefault="008816C2" w:rsidP="00B530BA">
      <w:pPr>
        <w:rPr>
          <w:color w:val="auto"/>
        </w:rPr>
      </w:pPr>
      <w:r w:rsidRPr="007C367A">
        <w:rPr>
          <w:color w:val="auto"/>
        </w:rPr>
        <w:t>Further, regulatory impact assessment is believed to improve policy coherence and minim</w:t>
      </w:r>
      <w:r w:rsidR="00FA1C78" w:rsidRPr="007C367A">
        <w:rPr>
          <w:color w:val="auto"/>
        </w:rPr>
        <w:t>ize</w:t>
      </w:r>
      <w:r w:rsidRPr="007C367A">
        <w:rPr>
          <w:color w:val="auto"/>
        </w:rPr>
        <w:t xml:space="preserve"> policy conflicts, ultimately contributing to regulatory quality and good governance (</w:t>
      </w:r>
      <w:proofErr w:type="spellStart"/>
      <w:r w:rsidRPr="007C367A">
        <w:rPr>
          <w:color w:val="auto"/>
        </w:rPr>
        <w:t>Hertin</w:t>
      </w:r>
      <w:proofErr w:type="spellEnd"/>
      <w:r w:rsidRPr="007C367A">
        <w:rPr>
          <w:color w:val="auto"/>
        </w:rPr>
        <w:t xml:space="preserve"> </w:t>
      </w:r>
      <w:r w:rsidRPr="007C367A">
        <w:rPr>
          <w:i/>
          <w:color w:val="auto"/>
        </w:rPr>
        <w:t>et al.</w:t>
      </w:r>
      <w:r w:rsidRPr="007C367A">
        <w:rPr>
          <w:color w:val="auto"/>
        </w:rPr>
        <w:t xml:space="preserve"> </w:t>
      </w:r>
      <w:r w:rsidR="00FA1C78" w:rsidRPr="007C367A">
        <w:rPr>
          <w:color w:val="auto"/>
        </w:rPr>
        <w:t>2009</w:t>
      </w:r>
      <w:r w:rsidRPr="007C367A">
        <w:rPr>
          <w:color w:val="auto"/>
        </w:rPr>
        <w:t>).</w:t>
      </w:r>
    </w:p>
    <w:p w14:paraId="50349325" w14:textId="7D203AA9" w:rsidR="00FA1C78" w:rsidRPr="00577C42" w:rsidRDefault="008816C2" w:rsidP="00086545">
      <w:pPr>
        <w:rPr>
          <w:color w:val="auto"/>
        </w:rPr>
      </w:pPr>
      <w:r w:rsidRPr="00577C42">
        <w:rPr>
          <w:color w:val="auto"/>
        </w:rPr>
        <w:t>Usually, regulatory impact assessment involves several stages, with environmental aspects being relevant to all of them (</w:t>
      </w:r>
      <w:r w:rsidR="00C0260E" w:rsidRPr="00577C42">
        <w:rPr>
          <w:color w:val="auto"/>
        </w:rPr>
        <w:fldChar w:fldCharType="begin"/>
      </w:r>
      <w:r w:rsidR="00C0260E" w:rsidRPr="00577C42">
        <w:rPr>
          <w:color w:val="auto"/>
        </w:rPr>
        <w:instrText xml:space="preserve"> REF _Ref511668742 \h </w:instrText>
      </w:r>
      <w:r w:rsidR="00715AD6" w:rsidRPr="00577C42">
        <w:rPr>
          <w:color w:val="auto"/>
        </w:rPr>
        <w:instrText xml:space="preserve"> \* MERGEFORMAT </w:instrText>
      </w:r>
      <w:r w:rsidR="00C0260E" w:rsidRPr="00577C42">
        <w:rPr>
          <w:color w:val="auto"/>
        </w:rPr>
      </w:r>
      <w:r w:rsidR="00C0260E" w:rsidRPr="00577C42">
        <w:rPr>
          <w:color w:val="auto"/>
        </w:rPr>
        <w:fldChar w:fldCharType="separate"/>
      </w:r>
      <w:r w:rsidR="00C0260E" w:rsidRPr="00577C42">
        <w:rPr>
          <w:color w:val="auto"/>
        </w:rPr>
        <w:t xml:space="preserve">Table </w:t>
      </w:r>
      <w:r w:rsidR="00C0260E" w:rsidRPr="00577C42">
        <w:rPr>
          <w:noProof/>
          <w:color w:val="auto"/>
        </w:rPr>
        <w:t>11</w:t>
      </w:r>
      <w:r w:rsidR="00C0260E" w:rsidRPr="00577C42">
        <w:rPr>
          <w:color w:val="auto"/>
        </w:rPr>
        <w:t>.</w:t>
      </w:r>
      <w:r w:rsidR="00C0260E" w:rsidRPr="00577C42">
        <w:rPr>
          <w:noProof/>
          <w:color w:val="auto"/>
        </w:rPr>
        <w:t>1</w:t>
      </w:r>
      <w:r w:rsidR="00C0260E" w:rsidRPr="00577C42">
        <w:rPr>
          <w:color w:val="auto"/>
        </w:rPr>
        <w:fldChar w:fldCharType="end"/>
      </w:r>
      <w:r w:rsidRPr="00577C42">
        <w:rPr>
          <w:color w:val="auto"/>
        </w:rPr>
        <w:t xml:space="preserve">). Integrating environmental aspects in assessments of regulatory policies involves tools for gathering and analysing data about the likely outcomes and impacts of policy options. These tools are used to generate and analyse data on specific impact areas </w:t>
      </w:r>
      <w:r w:rsidR="00FA1C78" w:rsidRPr="00577C42">
        <w:rPr>
          <w:color w:val="auto"/>
        </w:rPr>
        <w:t>(</w:t>
      </w:r>
      <w:r w:rsidR="00FA1C78" w:rsidRPr="00C032D3">
        <w:rPr>
          <w:color w:val="auto"/>
        </w:rPr>
        <w:t>e.g.</w:t>
      </w:r>
      <w:r w:rsidRPr="00577C42">
        <w:rPr>
          <w:color w:val="auto"/>
        </w:rPr>
        <w:t xml:space="preserve"> </w:t>
      </w:r>
      <w:r w:rsidR="00FA1C78" w:rsidRPr="00C032D3">
        <w:rPr>
          <w:color w:val="auto"/>
        </w:rPr>
        <w:t>socio</w:t>
      </w:r>
      <w:r w:rsidR="00A12C9B" w:rsidRPr="00C032D3">
        <w:rPr>
          <w:color w:val="auto"/>
        </w:rPr>
        <w:t>-</w:t>
      </w:r>
      <w:r w:rsidR="00FA1C78" w:rsidRPr="00C032D3">
        <w:rPr>
          <w:color w:val="auto"/>
        </w:rPr>
        <w:t>economic</w:t>
      </w:r>
      <w:r w:rsidRPr="00577C42">
        <w:rPr>
          <w:color w:val="auto"/>
        </w:rPr>
        <w:t>, biophysical models and integrated models), to integrate and aggregate data, such as scenario tools and cost</w:t>
      </w:r>
      <w:r w:rsidR="00A12C9B" w:rsidRPr="00577C42">
        <w:rPr>
          <w:color w:val="auto"/>
        </w:rPr>
        <w:t>–</w:t>
      </w:r>
      <w:r w:rsidRPr="00577C42">
        <w:rPr>
          <w:color w:val="auto"/>
        </w:rPr>
        <w:t xml:space="preserve">benefit analysis, and to involve stakeholders in policy development (Jacob </w:t>
      </w:r>
      <w:r w:rsidRPr="00577C42">
        <w:rPr>
          <w:i/>
          <w:color w:val="auto"/>
        </w:rPr>
        <w:t>et al.</w:t>
      </w:r>
      <w:r w:rsidRPr="00577C42">
        <w:rPr>
          <w:color w:val="auto"/>
        </w:rPr>
        <w:t xml:space="preserve"> </w:t>
      </w:r>
      <w:r w:rsidR="00FA1C78" w:rsidRPr="00C032D3">
        <w:rPr>
          <w:color w:val="auto"/>
        </w:rPr>
        <w:t>2011</w:t>
      </w:r>
      <w:r w:rsidRPr="00577C42">
        <w:rPr>
          <w:color w:val="auto"/>
        </w:rPr>
        <w:t>).</w:t>
      </w:r>
    </w:p>
    <w:p w14:paraId="3A0B24C4" w14:textId="535879BC" w:rsidR="00FB6FBE" w:rsidRPr="00577C42" w:rsidRDefault="00B6773D" w:rsidP="00B04299">
      <w:pPr>
        <w:pStyle w:val="Caption"/>
        <w:rPr>
          <w:b/>
        </w:rPr>
      </w:pPr>
      <w:bookmarkStart w:id="69" w:name="_Ref511668742"/>
      <w:r w:rsidRPr="00577C42">
        <w:t xml:space="preserve">Table </w:t>
      </w:r>
      <w:r w:rsidR="00AB3D4F" w:rsidRPr="00577C42">
        <w:rPr>
          <w:noProof/>
        </w:rPr>
        <w:fldChar w:fldCharType="begin"/>
      </w:r>
      <w:r w:rsidR="00AB3D4F" w:rsidRPr="00577C42">
        <w:rPr>
          <w:noProof/>
        </w:rPr>
        <w:instrText xml:space="preserve"> STYLEREF 1 \s </w:instrText>
      </w:r>
      <w:r w:rsidR="00AB3D4F" w:rsidRPr="00577C42">
        <w:rPr>
          <w:noProof/>
        </w:rPr>
        <w:fldChar w:fldCharType="separate"/>
      </w:r>
      <w:r w:rsidR="00D05DAA" w:rsidRPr="00577C42">
        <w:rPr>
          <w:noProof/>
        </w:rPr>
        <w:t>11</w:t>
      </w:r>
      <w:r w:rsidR="00AB3D4F" w:rsidRPr="00577C42">
        <w:rPr>
          <w:noProof/>
        </w:rPr>
        <w:fldChar w:fldCharType="end"/>
      </w:r>
      <w:r w:rsidRPr="00577C42">
        <w:t>.</w:t>
      </w:r>
      <w:r w:rsidR="00AB3D4F" w:rsidRPr="00577C42">
        <w:rPr>
          <w:noProof/>
        </w:rPr>
        <w:fldChar w:fldCharType="begin"/>
      </w:r>
      <w:r w:rsidR="00AB3D4F" w:rsidRPr="00577C42">
        <w:rPr>
          <w:noProof/>
        </w:rPr>
        <w:instrText xml:space="preserve"> SEQ Table \* ARABIC \s 1 </w:instrText>
      </w:r>
      <w:r w:rsidR="00AB3D4F" w:rsidRPr="00577C42">
        <w:rPr>
          <w:noProof/>
        </w:rPr>
        <w:fldChar w:fldCharType="separate"/>
      </w:r>
      <w:r w:rsidR="00D05DAA" w:rsidRPr="00577C42">
        <w:rPr>
          <w:noProof/>
        </w:rPr>
        <w:t>1</w:t>
      </w:r>
      <w:r w:rsidR="00AB3D4F" w:rsidRPr="00577C42">
        <w:rPr>
          <w:noProof/>
        </w:rPr>
        <w:fldChar w:fldCharType="end"/>
      </w:r>
      <w:bookmarkEnd w:id="69"/>
      <w:r w:rsidRPr="00577C42">
        <w:t xml:space="preserve">: Typical stages of regulatory impact assessment (Jacob </w:t>
      </w:r>
      <w:r w:rsidRPr="00577C42">
        <w:rPr>
          <w:i/>
        </w:rPr>
        <w:t>et al.</w:t>
      </w:r>
      <w:r w:rsidRPr="00577C42">
        <w:t xml:space="preserve"> </w:t>
      </w:r>
      <w:r w:rsidR="00FA1C78" w:rsidRPr="00C032D3">
        <w:t>2011</w:t>
      </w:r>
      <w:r w:rsidRPr="00577C42">
        <w:t>)</w:t>
      </w:r>
    </w:p>
    <w:tbl>
      <w:tblPr>
        <w:tblStyle w:val="a"/>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360"/>
      </w:tblGrid>
      <w:tr w:rsidR="00FB6FBE" w:rsidRPr="00577C42" w14:paraId="73848B12" w14:textId="77777777" w:rsidTr="00086545">
        <w:tc>
          <w:tcPr>
            <w:tcW w:w="9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05EBF7" w14:textId="77777777" w:rsidR="00FA1C78" w:rsidRPr="00577C42" w:rsidRDefault="008816C2" w:rsidP="00086545">
            <w:pPr>
              <w:pStyle w:val="ListParagraph"/>
              <w:numPr>
                <w:ilvl w:val="0"/>
                <w:numId w:val="4"/>
              </w:numPr>
              <w:rPr>
                <w:color w:val="auto"/>
              </w:rPr>
            </w:pPr>
            <w:r w:rsidRPr="00577C42">
              <w:rPr>
                <w:color w:val="auto"/>
              </w:rPr>
              <w:lastRenderedPageBreak/>
              <w:t>Selection of policy proposals to be subject to assessment</w:t>
            </w:r>
          </w:p>
          <w:p w14:paraId="6F9FB4D9" w14:textId="77777777" w:rsidR="00FA1C78" w:rsidRPr="00577C42" w:rsidRDefault="008816C2" w:rsidP="00086545">
            <w:pPr>
              <w:pStyle w:val="ListParagraph"/>
              <w:numPr>
                <w:ilvl w:val="0"/>
                <w:numId w:val="4"/>
              </w:numPr>
              <w:rPr>
                <w:color w:val="auto"/>
              </w:rPr>
            </w:pPr>
            <w:r w:rsidRPr="00577C42">
              <w:rPr>
                <w:color w:val="auto"/>
              </w:rPr>
              <w:t>Description of the problem and the objective of the proposed regulation</w:t>
            </w:r>
          </w:p>
          <w:p w14:paraId="545220E7" w14:textId="77777777" w:rsidR="00FA1C78" w:rsidRPr="00577C42" w:rsidRDefault="008816C2" w:rsidP="00086545">
            <w:pPr>
              <w:pStyle w:val="ListParagraph"/>
              <w:numPr>
                <w:ilvl w:val="0"/>
                <w:numId w:val="4"/>
              </w:numPr>
              <w:rPr>
                <w:color w:val="auto"/>
              </w:rPr>
            </w:pPr>
            <w:r w:rsidRPr="00577C42">
              <w:rPr>
                <w:color w:val="auto"/>
              </w:rPr>
              <w:t>Description of the baseline scenario</w:t>
            </w:r>
          </w:p>
          <w:p w14:paraId="41432B3D" w14:textId="77777777" w:rsidR="00FA1C78" w:rsidRPr="00577C42" w:rsidRDefault="008816C2" w:rsidP="00086545">
            <w:pPr>
              <w:pStyle w:val="ListParagraph"/>
              <w:numPr>
                <w:ilvl w:val="0"/>
                <w:numId w:val="4"/>
              </w:numPr>
              <w:rPr>
                <w:color w:val="auto"/>
              </w:rPr>
            </w:pPr>
            <w:r w:rsidRPr="00577C42">
              <w:rPr>
                <w:color w:val="auto"/>
              </w:rPr>
              <w:t>Identification of policy options to be assessed</w:t>
            </w:r>
          </w:p>
          <w:p w14:paraId="4D0B109E" w14:textId="3B150753" w:rsidR="00FA1C78" w:rsidRPr="00577C42" w:rsidRDefault="008816C2" w:rsidP="00086545">
            <w:pPr>
              <w:pStyle w:val="ListParagraph"/>
              <w:numPr>
                <w:ilvl w:val="0"/>
                <w:numId w:val="4"/>
              </w:numPr>
              <w:rPr>
                <w:color w:val="auto"/>
              </w:rPr>
            </w:pPr>
            <w:r w:rsidRPr="00577C42">
              <w:rPr>
                <w:color w:val="auto"/>
              </w:rPr>
              <w:t>Assessment of options, including the anticipat</w:t>
            </w:r>
            <w:r w:rsidR="002428AB">
              <w:rPr>
                <w:color w:val="auto"/>
              </w:rPr>
              <w:t xml:space="preserve">ed </w:t>
            </w:r>
            <w:r w:rsidRPr="00577C42">
              <w:rPr>
                <w:color w:val="auto"/>
              </w:rPr>
              <w:t xml:space="preserve">impacts in the different areas as </w:t>
            </w:r>
            <w:r w:rsidR="00FA1C78" w:rsidRPr="00C032D3">
              <w:rPr>
                <w:color w:val="auto"/>
              </w:rPr>
              <w:t>well</w:t>
            </w:r>
            <w:r w:rsidRPr="00577C42">
              <w:rPr>
                <w:color w:val="auto"/>
              </w:rPr>
              <w:t xml:space="preserve"> as the weighting and aggregation of different impacts</w:t>
            </w:r>
          </w:p>
          <w:p w14:paraId="1032D719" w14:textId="77777777" w:rsidR="00FA1C78" w:rsidRPr="00577C42" w:rsidRDefault="008816C2" w:rsidP="00086545">
            <w:pPr>
              <w:pStyle w:val="ListParagraph"/>
              <w:numPr>
                <w:ilvl w:val="0"/>
                <w:numId w:val="4"/>
              </w:numPr>
              <w:rPr>
                <w:color w:val="auto"/>
              </w:rPr>
            </w:pPr>
            <w:r w:rsidRPr="00577C42">
              <w:rPr>
                <w:color w:val="auto"/>
              </w:rPr>
              <w:t>Consultation of stakeholders and other interested parties on the assessment results</w:t>
            </w:r>
          </w:p>
          <w:p w14:paraId="2BA1A6B0" w14:textId="60F0C7EE" w:rsidR="00FB6FBE" w:rsidRPr="00577C42" w:rsidRDefault="008816C2" w:rsidP="00086545">
            <w:pPr>
              <w:pStyle w:val="ListParagraph"/>
              <w:numPr>
                <w:ilvl w:val="0"/>
                <w:numId w:val="4"/>
              </w:numPr>
              <w:rPr>
                <w:color w:val="auto"/>
              </w:rPr>
            </w:pPr>
            <w:r w:rsidRPr="00577C42">
              <w:rPr>
                <w:color w:val="auto"/>
              </w:rPr>
              <w:t>Review of the quality of the assessment</w:t>
            </w:r>
          </w:p>
        </w:tc>
      </w:tr>
    </w:tbl>
    <w:p w14:paraId="28970532" w14:textId="77777777" w:rsidR="00FA1C78" w:rsidRPr="00577C42" w:rsidRDefault="00FA1C78" w:rsidP="00086545">
      <w:pPr>
        <w:rPr>
          <w:color w:val="auto"/>
        </w:rPr>
      </w:pPr>
    </w:p>
    <w:p w14:paraId="55F231B9" w14:textId="5722433A" w:rsidR="00FA1C78" w:rsidRPr="00577C42" w:rsidRDefault="008816C2" w:rsidP="00086545">
      <w:pPr>
        <w:rPr>
          <w:color w:val="auto"/>
        </w:rPr>
      </w:pPr>
      <w:r w:rsidRPr="00577C42">
        <w:rPr>
          <w:color w:val="auto"/>
        </w:rPr>
        <w:t xml:space="preserve">The assessment of the social costs of carbon in the United Kingdom illustrates the approach and </w:t>
      </w:r>
      <w:r w:rsidR="001F68BA">
        <w:rPr>
          <w:color w:val="auto"/>
        </w:rPr>
        <w:t xml:space="preserve">the </w:t>
      </w:r>
      <w:r w:rsidRPr="00577C42">
        <w:rPr>
          <w:color w:val="auto"/>
        </w:rPr>
        <w:t>associated tools described above (</w:t>
      </w:r>
      <w:r w:rsidR="00125159" w:rsidRPr="00577C42">
        <w:rPr>
          <w:color w:val="auto"/>
        </w:rPr>
        <w:fldChar w:fldCharType="begin"/>
      </w:r>
      <w:r w:rsidR="00125159" w:rsidRPr="00577C42">
        <w:rPr>
          <w:color w:val="auto"/>
        </w:rPr>
        <w:instrText xml:space="preserve"> REF _Ref511668716 \h </w:instrText>
      </w:r>
      <w:r w:rsidR="00715AD6" w:rsidRPr="00577C42">
        <w:rPr>
          <w:color w:val="auto"/>
        </w:rPr>
        <w:instrText xml:space="preserve"> \* MERGEFORMAT </w:instrText>
      </w:r>
      <w:r w:rsidR="00125159" w:rsidRPr="00577C42">
        <w:rPr>
          <w:color w:val="auto"/>
        </w:rPr>
      </w:r>
      <w:r w:rsidR="00125159" w:rsidRPr="00577C42">
        <w:rPr>
          <w:color w:val="auto"/>
        </w:rPr>
        <w:fldChar w:fldCharType="separate"/>
      </w:r>
      <w:r w:rsidR="00C0260E" w:rsidRPr="00577C42">
        <w:rPr>
          <w:color w:val="auto"/>
        </w:rPr>
        <w:t xml:space="preserve">Box </w:t>
      </w:r>
      <w:r w:rsidR="00C0260E" w:rsidRPr="00577C42">
        <w:rPr>
          <w:noProof/>
          <w:color w:val="auto"/>
        </w:rPr>
        <w:t>11</w:t>
      </w:r>
      <w:r w:rsidR="00C0260E" w:rsidRPr="00577C42">
        <w:rPr>
          <w:color w:val="auto"/>
        </w:rPr>
        <w:t>.</w:t>
      </w:r>
      <w:r w:rsidR="00C0260E" w:rsidRPr="00577C42">
        <w:rPr>
          <w:noProof/>
          <w:color w:val="auto"/>
        </w:rPr>
        <w:t>1</w:t>
      </w:r>
      <w:r w:rsidR="00125159" w:rsidRPr="00577C42">
        <w:rPr>
          <w:color w:val="auto"/>
        </w:rPr>
        <w:fldChar w:fldCharType="end"/>
      </w:r>
      <w:r w:rsidRPr="00577C42">
        <w:rPr>
          <w:color w:val="auto"/>
        </w:rPr>
        <w:t xml:space="preserve">). The </w:t>
      </w:r>
      <w:r w:rsidR="00FA1C78" w:rsidRPr="00C032D3">
        <w:rPr>
          <w:color w:val="auto"/>
        </w:rPr>
        <w:t>United Kingdom of Great Britain and Northern Ireland</w:t>
      </w:r>
      <w:r w:rsidRPr="00577C42">
        <w:rPr>
          <w:color w:val="auto"/>
        </w:rPr>
        <w:t xml:space="preserve"> </w:t>
      </w:r>
      <w:proofErr w:type="gramStart"/>
      <w:r w:rsidRPr="00577C42">
        <w:rPr>
          <w:color w:val="auto"/>
        </w:rPr>
        <w:t>is considered</w:t>
      </w:r>
      <w:r w:rsidR="001F68BA">
        <w:rPr>
          <w:color w:val="auto"/>
        </w:rPr>
        <w:t xml:space="preserve"> to be</w:t>
      </w:r>
      <w:proofErr w:type="gramEnd"/>
      <w:r w:rsidRPr="00577C42">
        <w:rPr>
          <w:color w:val="auto"/>
        </w:rPr>
        <w:t xml:space="preserve"> the country with the longest experience with climate impact assessment, featuring one of the most </w:t>
      </w:r>
      <w:r w:rsidR="00FA1C78" w:rsidRPr="00577C42">
        <w:rPr>
          <w:color w:val="auto"/>
        </w:rPr>
        <w:t>elaborat</w:t>
      </w:r>
      <w:r w:rsidRPr="00577C42">
        <w:rPr>
          <w:color w:val="auto"/>
        </w:rPr>
        <w:t xml:space="preserve">e </w:t>
      </w:r>
      <w:r w:rsidR="001F68BA">
        <w:rPr>
          <w:color w:val="auto"/>
        </w:rPr>
        <w:t>approaches to</w:t>
      </w:r>
      <w:r w:rsidRPr="00577C42">
        <w:rPr>
          <w:color w:val="auto"/>
        </w:rPr>
        <w:t xml:space="preserve"> policy assessment</w:t>
      </w:r>
      <w:r w:rsidR="008472A3" w:rsidRPr="00577C42">
        <w:rPr>
          <w:color w:val="auto"/>
        </w:rPr>
        <w:t xml:space="preserve">, as </w:t>
      </w:r>
      <w:r w:rsidR="00FA1C78" w:rsidRPr="00C032D3">
        <w:rPr>
          <w:color w:val="auto"/>
        </w:rPr>
        <w:t>well</w:t>
      </w:r>
      <w:r w:rsidR="008472A3" w:rsidRPr="00577C42">
        <w:rPr>
          <w:color w:val="auto"/>
        </w:rPr>
        <w:t xml:space="preserve"> as specific legislation </w:t>
      </w:r>
      <w:r w:rsidR="001F68BA">
        <w:rPr>
          <w:color w:val="auto"/>
        </w:rPr>
        <w:t xml:space="preserve">to support this work </w:t>
      </w:r>
      <w:r w:rsidR="008472A3" w:rsidRPr="00577C42">
        <w:rPr>
          <w:color w:val="auto"/>
        </w:rPr>
        <w:t xml:space="preserve">(the </w:t>
      </w:r>
      <w:r w:rsidR="00FA1C78" w:rsidRPr="00C032D3">
        <w:rPr>
          <w:color w:val="auto"/>
        </w:rPr>
        <w:t>United Kingdom of Great Britain and Northern Ireland</w:t>
      </w:r>
      <w:r w:rsidR="008472A3" w:rsidRPr="00577C42">
        <w:rPr>
          <w:color w:val="auto"/>
        </w:rPr>
        <w:t xml:space="preserve"> Climate Change Act)</w:t>
      </w:r>
      <w:r w:rsidRPr="00577C42">
        <w:rPr>
          <w:color w:val="auto"/>
        </w:rPr>
        <w:t xml:space="preserve"> (Jacob </w:t>
      </w:r>
      <w:r w:rsidRPr="00577C42">
        <w:rPr>
          <w:i/>
          <w:color w:val="auto"/>
        </w:rPr>
        <w:t>et al.</w:t>
      </w:r>
      <w:r w:rsidRPr="00577C42">
        <w:rPr>
          <w:color w:val="auto"/>
        </w:rPr>
        <w:t xml:space="preserve"> </w:t>
      </w:r>
      <w:r w:rsidR="00FA1C78" w:rsidRPr="00C032D3">
        <w:rPr>
          <w:color w:val="auto"/>
        </w:rPr>
        <w:t>2011</w:t>
      </w:r>
      <w:r w:rsidRPr="00577C42">
        <w:rPr>
          <w:color w:val="auto"/>
        </w:rPr>
        <w:t>).</w:t>
      </w:r>
    </w:p>
    <w:p w14:paraId="7ACDB979" w14:textId="5879FE02" w:rsidR="00FA1C78" w:rsidRPr="00577C42" w:rsidRDefault="008816C2" w:rsidP="00086545">
      <w:pPr>
        <w:rPr>
          <w:color w:val="auto"/>
        </w:rPr>
      </w:pPr>
      <w:r w:rsidRPr="00577C42">
        <w:rPr>
          <w:color w:val="auto"/>
        </w:rPr>
        <w:t xml:space="preserve">Considering the variety of approaches and tools for assessing regulatory policies, Adelle </w:t>
      </w:r>
      <w:r w:rsidRPr="00577C42">
        <w:rPr>
          <w:i/>
          <w:color w:val="auto"/>
        </w:rPr>
        <w:t>et al.</w:t>
      </w:r>
      <w:r w:rsidRPr="00577C42">
        <w:rPr>
          <w:color w:val="auto"/>
        </w:rPr>
        <w:t xml:space="preserve"> (</w:t>
      </w:r>
      <w:r w:rsidR="00FA1C78" w:rsidRPr="00C032D3">
        <w:rPr>
          <w:color w:val="auto"/>
        </w:rPr>
        <w:t>2011</w:t>
      </w:r>
      <w:r w:rsidRPr="00577C42">
        <w:rPr>
          <w:color w:val="auto"/>
        </w:rPr>
        <w:t xml:space="preserve">) suggest that that there is no </w:t>
      </w:r>
      <w:r w:rsidR="00FA1C78" w:rsidRPr="00577C42">
        <w:rPr>
          <w:color w:val="auto"/>
        </w:rPr>
        <w:t>‘</w:t>
      </w:r>
      <w:r w:rsidRPr="00577C42">
        <w:rPr>
          <w:color w:val="auto"/>
        </w:rPr>
        <w:t>one way</w:t>
      </w:r>
      <w:r w:rsidR="00FA1C78" w:rsidRPr="00577C42">
        <w:rPr>
          <w:color w:val="auto"/>
        </w:rPr>
        <w:t>’</w:t>
      </w:r>
      <w:r w:rsidRPr="00577C42">
        <w:rPr>
          <w:color w:val="auto"/>
        </w:rPr>
        <w:t xml:space="preserve"> or </w:t>
      </w:r>
      <w:r w:rsidR="00FA1C78" w:rsidRPr="00577C42">
        <w:rPr>
          <w:color w:val="auto"/>
        </w:rPr>
        <w:t>‘</w:t>
      </w:r>
      <w:r w:rsidRPr="00577C42">
        <w:rPr>
          <w:color w:val="auto"/>
        </w:rPr>
        <w:t>best way</w:t>
      </w:r>
      <w:r w:rsidR="00FA1C78" w:rsidRPr="00577C42">
        <w:rPr>
          <w:color w:val="auto"/>
        </w:rPr>
        <w:t>’</w:t>
      </w:r>
      <w:r w:rsidRPr="00577C42">
        <w:rPr>
          <w:color w:val="auto"/>
        </w:rPr>
        <w:t xml:space="preserve"> of conducting </w:t>
      </w:r>
      <w:r w:rsidR="005E669E">
        <w:rPr>
          <w:color w:val="auto"/>
        </w:rPr>
        <w:t>these</w:t>
      </w:r>
      <w:r w:rsidR="005E669E" w:rsidRPr="00577C42">
        <w:rPr>
          <w:color w:val="auto"/>
        </w:rPr>
        <w:t xml:space="preserve"> </w:t>
      </w:r>
      <w:r w:rsidRPr="00577C42">
        <w:rPr>
          <w:color w:val="auto"/>
        </w:rPr>
        <w:t>assessment</w:t>
      </w:r>
      <w:r w:rsidR="005E669E">
        <w:rPr>
          <w:color w:val="auto"/>
        </w:rPr>
        <w:t>s</w:t>
      </w:r>
      <w:r w:rsidRPr="00577C42">
        <w:rPr>
          <w:color w:val="auto"/>
        </w:rPr>
        <w:t>. However, some jurisdictions may be regarded as exemplars, such as the EU</w:t>
      </w:r>
      <w:r w:rsidR="005E669E">
        <w:rPr>
          <w:color w:val="auto"/>
        </w:rPr>
        <w:t>,</w:t>
      </w:r>
      <w:r w:rsidRPr="00577C42">
        <w:rPr>
          <w:color w:val="auto"/>
        </w:rPr>
        <w:t xml:space="preserve"> for the high level of integration of its approach and consideration of social, economic and environmental dimensions (Adelle </w:t>
      </w:r>
      <w:r w:rsidRPr="00577C42">
        <w:rPr>
          <w:i/>
          <w:color w:val="auto"/>
        </w:rPr>
        <w:t>et al.</w:t>
      </w:r>
      <w:r w:rsidRPr="00577C42">
        <w:rPr>
          <w:color w:val="auto"/>
        </w:rPr>
        <w:t xml:space="preserve"> </w:t>
      </w:r>
      <w:r w:rsidR="00FA1C78" w:rsidRPr="00C032D3">
        <w:rPr>
          <w:color w:val="auto"/>
        </w:rPr>
        <w:t>2016</w:t>
      </w:r>
      <w:r w:rsidRPr="00577C42">
        <w:rPr>
          <w:color w:val="auto"/>
        </w:rPr>
        <w:t xml:space="preserve">). Based on a review of regulatory policy assessments in selected OECD countries, Jacob </w:t>
      </w:r>
      <w:r w:rsidRPr="00577C42">
        <w:rPr>
          <w:i/>
          <w:color w:val="auto"/>
        </w:rPr>
        <w:t>et al.</w:t>
      </w:r>
      <w:r w:rsidRPr="00577C42">
        <w:rPr>
          <w:color w:val="auto"/>
        </w:rPr>
        <w:t xml:space="preserve"> (</w:t>
      </w:r>
      <w:r w:rsidR="00FA1C78" w:rsidRPr="00C032D3">
        <w:rPr>
          <w:color w:val="auto"/>
        </w:rPr>
        <w:t>2011</w:t>
      </w:r>
      <w:r w:rsidRPr="00577C42">
        <w:rPr>
          <w:color w:val="auto"/>
        </w:rPr>
        <w:t>) suggest how to better consider environmental aspects in assessments of regulatory policies</w:t>
      </w:r>
      <w:r w:rsidR="00006FD0" w:rsidRPr="00577C42">
        <w:rPr>
          <w:color w:val="auto"/>
        </w:rPr>
        <w:t>, i</w:t>
      </w:r>
      <w:r w:rsidRPr="00577C42">
        <w:rPr>
          <w:color w:val="auto"/>
        </w:rPr>
        <w:t>nclud</w:t>
      </w:r>
      <w:r w:rsidR="00006FD0" w:rsidRPr="00577C42">
        <w:rPr>
          <w:color w:val="auto"/>
        </w:rPr>
        <w:t>ing</w:t>
      </w:r>
      <w:r w:rsidRPr="00577C42">
        <w:rPr>
          <w:color w:val="auto"/>
        </w:rPr>
        <w:t>:</w:t>
      </w:r>
    </w:p>
    <w:p w14:paraId="0C3184E8" w14:textId="1B4E0FC0" w:rsidR="00FA1C78" w:rsidRPr="00577C42" w:rsidRDefault="00A12C9B" w:rsidP="00086545">
      <w:pPr>
        <w:pStyle w:val="ListParagraph"/>
        <w:numPr>
          <w:ilvl w:val="0"/>
          <w:numId w:val="1"/>
        </w:numPr>
        <w:rPr>
          <w:color w:val="auto"/>
        </w:rPr>
      </w:pPr>
      <w:r w:rsidRPr="00577C42">
        <w:rPr>
          <w:color w:val="auto"/>
        </w:rPr>
        <w:t>t</w:t>
      </w:r>
      <w:r w:rsidR="008816C2" w:rsidRPr="00577C42">
        <w:rPr>
          <w:color w:val="auto"/>
        </w:rPr>
        <w:t>aking into consideration environmental costs and benefits when regulating economic activities;</w:t>
      </w:r>
    </w:p>
    <w:p w14:paraId="638429B0" w14:textId="2DBB1B3D" w:rsidR="00FA1C78" w:rsidRPr="00577C42" w:rsidRDefault="00A12C9B" w:rsidP="00086545">
      <w:pPr>
        <w:pStyle w:val="ListParagraph"/>
        <w:numPr>
          <w:ilvl w:val="0"/>
          <w:numId w:val="1"/>
        </w:numPr>
        <w:rPr>
          <w:color w:val="auto"/>
        </w:rPr>
      </w:pPr>
      <w:r w:rsidRPr="00577C42">
        <w:rPr>
          <w:color w:val="auto"/>
        </w:rPr>
        <w:t>u</w:t>
      </w:r>
      <w:r w:rsidR="008816C2" w:rsidRPr="00577C42">
        <w:rPr>
          <w:color w:val="auto"/>
        </w:rPr>
        <w:t>ndertaking early assessment</w:t>
      </w:r>
      <w:r w:rsidR="00006FD0" w:rsidRPr="00577C42">
        <w:rPr>
          <w:color w:val="auto"/>
        </w:rPr>
        <w:t>, notification and participat</w:t>
      </w:r>
      <w:r w:rsidR="005E669E">
        <w:rPr>
          <w:color w:val="auto"/>
        </w:rPr>
        <w:t xml:space="preserve">ory </w:t>
      </w:r>
      <w:r w:rsidR="00387502">
        <w:rPr>
          <w:color w:val="auto"/>
        </w:rPr>
        <w:t xml:space="preserve">approaches </w:t>
      </w:r>
      <w:r w:rsidR="00387502" w:rsidRPr="00577C42">
        <w:rPr>
          <w:color w:val="auto"/>
        </w:rPr>
        <w:t>to</w:t>
      </w:r>
      <w:r w:rsidR="008816C2" w:rsidRPr="00577C42">
        <w:rPr>
          <w:color w:val="auto"/>
        </w:rPr>
        <w:t xml:space="preserve"> </w:t>
      </w:r>
      <w:r w:rsidR="008816C2" w:rsidRPr="00C032D3">
        <w:rPr>
          <w:color w:val="auto"/>
        </w:rPr>
        <w:t>minim</w:t>
      </w:r>
      <w:r w:rsidR="00FA1C78" w:rsidRPr="00C032D3">
        <w:rPr>
          <w:color w:val="auto"/>
        </w:rPr>
        <w:t>ize</w:t>
      </w:r>
      <w:r w:rsidR="008816C2" w:rsidRPr="00577C42">
        <w:rPr>
          <w:color w:val="auto"/>
        </w:rPr>
        <w:t xml:space="preserve"> conflicts between departments and with stakeholders and increase the social robustness of proposals;</w:t>
      </w:r>
    </w:p>
    <w:p w14:paraId="32CBC7DE" w14:textId="4FFA1471" w:rsidR="00FA1C78" w:rsidRPr="00577C42" w:rsidRDefault="00A12C9B" w:rsidP="00086545">
      <w:pPr>
        <w:pStyle w:val="ListParagraph"/>
        <w:numPr>
          <w:ilvl w:val="0"/>
          <w:numId w:val="1"/>
        </w:numPr>
        <w:rPr>
          <w:color w:val="auto"/>
        </w:rPr>
      </w:pPr>
      <w:r w:rsidRPr="00577C42">
        <w:rPr>
          <w:color w:val="auto"/>
        </w:rPr>
        <w:t>u</w:t>
      </w:r>
      <w:r w:rsidR="008816C2" w:rsidRPr="00577C42">
        <w:rPr>
          <w:color w:val="auto"/>
        </w:rPr>
        <w:t xml:space="preserve">sing </w:t>
      </w:r>
      <w:r w:rsidR="00FA1C78" w:rsidRPr="00C032D3">
        <w:rPr>
          <w:color w:val="auto"/>
        </w:rPr>
        <w:t>well</w:t>
      </w:r>
      <w:r w:rsidR="008816C2" w:rsidRPr="00577C42">
        <w:rPr>
          <w:color w:val="auto"/>
        </w:rPr>
        <w:t>-established models</w:t>
      </w:r>
      <w:r w:rsidR="005E669E">
        <w:rPr>
          <w:color w:val="auto"/>
        </w:rPr>
        <w:t>,</w:t>
      </w:r>
      <w:r w:rsidR="008816C2" w:rsidRPr="00577C42">
        <w:rPr>
          <w:color w:val="auto"/>
        </w:rPr>
        <w:t xml:space="preserve"> such as those available for climate change, </w:t>
      </w:r>
      <w:r w:rsidR="00FA1C78" w:rsidRPr="00577C42">
        <w:rPr>
          <w:color w:val="auto"/>
        </w:rPr>
        <w:t>emission</w:t>
      </w:r>
      <w:r w:rsidR="008816C2" w:rsidRPr="00577C42">
        <w:rPr>
          <w:color w:val="auto"/>
        </w:rPr>
        <w:t xml:space="preserve"> of harmful substances, and </w:t>
      </w:r>
      <w:r w:rsidR="00FA1C78" w:rsidRPr="00C032D3">
        <w:rPr>
          <w:color w:val="auto"/>
        </w:rPr>
        <w:t>land use</w:t>
      </w:r>
      <w:r w:rsidR="008816C2" w:rsidRPr="00577C42">
        <w:rPr>
          <w:color w:val="auto"/>
        </w:rPr>
        <w:t>;</w:t>
      </w:r>
    </w:p>
    <w:p w14:paraId="12FE49A9" w14:textId="38C1448A" w:rsidR="00FA1C78" w:rsidRPr="00577C42" w:rsidRDefault="00A12C9B" w:rsidP="00086545">
      <w:pPr>
        <w:pStyle w:val="ListParagraph"/>
        <w:numPr>
          <w:ilvl w:val="0"/>
          <w:numId w:val="1"/>
        </w:numPr>
        <w:rPr>
          <w:color w:val="auto"/>
        </w:rPr>
      </w:pPr>
      <w:r w:rsidRPr="00577C42">
        <w:rPr>
          <w:color w:val="auto"/>
        </w:rPr>
        <w:t>i</w:t>
      </w:r>
      <w:r w:rsidR="008816C2" w:rsidRPr="00577C42">
        <w:rPr>
          <w:color w:val="auto"/>
        </w:rPr>
        <w:t>ntroducing institutional requirements, including mechanisms for quality control, transparency and consultation; and</w:t>
      </w:r>
    </w:p>
    <w:p w14:paraId="2A5D3E6C" w14:textId="696F2664" w:rsidR="00FA1C78" w:rsidRPr="00577C42" w:rsidRDefault="00A12C9B" w:rsidP="00086545">
      <w:pPr>
        <w:pStyle w:val="ListParagraph"/>
        <w:numPr>
          <w:ilvl w:val="0"/>
          <w:numId w:val="1"/>
        </w:numPr>
        <w:rPr>
          <w:color w:val="auto"/>
        </w:rPr>
      </w:pPr>
      <w:r w:rsidRPr="00577C42">
        <w:rPr>
          <w:color w:val="auto"/>
        </w:rPr>
        <w:t>b</w:t>
      </w:r>
      <w:r w:rsidR="008816C2" w:rsidRPr="00577C42">
        <w:rPr>
          <w:color w:val="auto"/>
        </w:rPr>
        <w:t>uilding capacity of environmental departments and agencies to perform or support regulatory impact assessment.</w:t>
      </w:r>
    </w:p>
    <w:p w14:paraId="457ECAA8" w14:textId="15D28CD4" w:rsidR="00FA1C78" w:rsidRDefault="0009192B" w:rsidP="00B04299">
      <w:pPr>
        <w:pStyle w:val="Caption"/>
      </w:pPr>
      <w:bookmarkStart w:id="70" w:name="_Ref511668716"/>
      <w:r w:rsidRPr="00577C42">
        <w:t xml:space="preserve">Box </w:t>
      </w:r>
      <w:r w:rsidR="00AB3D4F" w:rsidRPr="00577C42">
        <w:rPr>
          <w:noProof/>
        </w:rPr>
        <w:fldChar w:fldCharType="begin"/>
      </w:r>
      <w:r w:rsidR="00AB3D4F" w:rsidRPr="00577C42">
        <w:rPr>
          <w:noProof/>
        </w:rPr>
        <w:instrText xml:space="preserve"> STYLEREF 1 \s </w:instrText>
      </w:r>
      <w:r w:rsidR="00AB3D4F" w:rsidRPr="00577C42">
        <w:rPr>
          <w:noProof/>
        </w:rPr>
        <w:fldChar w:fldCharType="separate"/>
      </w:r>
      <w:r w:rsidR="00D05DAA" w:rsidRPr="00577C42">
        <w:rPr>
          <w:noProof/>
        </w:rPr>
        <w:t>11</w:t>
      </w:r>
      <w:r w:rsidR="00AB3D4F" w:rsidRPr="00577C42">
        <w:rPr>
          <w:noProof/>
        </w:rPr>
        <w:fldChar w:fldCharType="end"/>
      </w:r>
      <w:r w:rsidRPr="00577C42">
        <w:t>.</w:t>
      </w:r>
      <w:r w:rsidR="00AB3D4F" w:rsidRPr="00577C42">
        <w:rPr>
          <w:noProof/>
        </w:rPr>
        <w:fldChar w:fldCharType="begin"/>
      </w:r>
      <w:r w:rsidR="00AB3D4F" w:rsidRPr="00577C42">
        <w:rPr>
          <w:noProof/>
        </w:rPr>
        <w:instrText xml:space="preserve"> SEQ Box \* ARABIC \s 1 </w:instrText>
      </w:r>
      <w:r w:rsidR="00AB3D4F" w:rsidRPr="00577C42">
        <w:rPr>
          <w:noProof/>
        </w:rPr>
        <w:fldChar w:fldCharType="separate"/>
      </w:r>
      <w:r w:rsidR="00D05DAA" w:rsidRPr="00577C42">
        <w:rPr>
          <w:noProof/>
        </w:rPr>
        <w:t>1</w:t>
      </w:r>
      <w:r w:rsidR="00AB3D4F" w:rsidRPr="00577C42">
        <w:rPr>
          <w:noProof/>
        </w:rPr>
        <w:fldChar w:fldCharType="end"/>
      </w:r>
      <w:bookmarkEnd w:id="70"/>
      <w:r w:rsidRPr="00577C42">
        <w:t xml:space="preserve">: Carbon valuation as part of </w:t>
      </w:r>
      <w:r w:rsidR="00FA1C78" w:rsidRPr="00C032D3">
        <w:t>United Kingdom of Great Britain and Northern Ireland</w:t>
      </w:r>
      <w:r w:rsidR="00FA1C78" w:rsidRPr="00577C42">
        <w:t>’</w:t>
      </w:r>
      <w:r w:rsidRPr="00577C42">
        <w:t>s policy assessment</w:t>
      </w:r>
    </w:p>
    <w:tbl>
      <w:tblPr>
        <w:tblStyle w:val="TableGrid"/>
        <w:tblW w:w="0" w:type="auto"/>
        <w:tblLook w:val="04A0" w:firstRow="1" w:lastRow="0" w:firstColumn="1" w:lastColumn="0" w:noHBand="0" w:noVBand="1"/>
      </w:tblPr>
      <w:tblGrid>
        <w:gridCol w:w="8927"/>
      </w:tblGrid>
      <w:tr w:rsidR="005E669E" w14:paraId="052A39BE" w14:textId="77777777" w:rsidTr="005E669E">
        <w:tc>
          <w:tcPr>
            <w:tcW w:w="8927" w:type="dxa"/>
          </w:tcPr>
          <w:p w14:paraId="0045D45D" w14:textId="500DAF69" w:rsidR="005E669E" w:rsidRDefault="005E669E" w:rsidP="005E669E">
            <w:pPr>
              <w:rPr>
                <w:color w:val="000000" w:themeColor="text1"/>
                <w:sz w:val="20"/>
                <w:szCs w:val="20"/>
              </w:rPr>
            </w:pPr>
            <w:r w:rsidRPr="00A262A4">
              <w:rPr>
                <w:color w:val="000000" w:themeColor="text1"/>
                <w:sz w:val="20"/>
                <w:szCs w:val="20"/>
              </w:rPr>
              <w:t xml:space="preserve">In 2002, the United Kingdom of Great Britain and Northern Ireland Ministry of Economics and Finance (HM Treasury) and the Department of Environment, Food and Rural Affairs (DEFRA) jointly published </w:t>
            </w:r>
            <w:r w:rsidRPr="00A262A4">
              <w:rPr>
                <w:color w:val="000000" w:themeColor="text1"/>
                <w:sz w:val="20"/>
                <w:szCs w:val="20"/>
              </w:rPr>
              <w:lastRenderedPageBreak/>
              <w:t>a report on how to integrate the social costs of carbon emissions into policy decisions. Since 2003 the Greenhouse Gas (GHG) Impact Assessment has been mandatory as part of the broader policy assessment process (</w:t>
            </w:r>
            <w:r w:rsidR="003D79CF">
              <w:rPr>
                <w:color w:val="000000" w:themeColor="text1"/>
                <w:sz w:val="20"/>
                <w:szCs w:val="20"/>
              </w:rPr>
              <w:t xml:space="preserve">United Kingdom, </w:t>
            </w:r>
            <w:r w:rsidRPr="00A262A4">
              <w:rPr>
                <w:color w:val="000000" w:themeColor="text1"/>
                <w:sz w:val="20"/>
                <w:szCs w:val="20"/>
              </w:rPr>
              <w:t>Department for Business Innovation and Skills [BIS] 2010, p. 73). It uses cost–benefit analysis and requires assessment of all policy initiatives.</w:t>
            </w:r>
          </w:p>
          <w:p w14:paraId="3D047EF7" w14:textId="77777777" w:rsidR="005E669E" w:rsidRPr="00A262A4" w:rsidRDefault="005E669E" w:rsidP="005E669E">
            <w:pPr>
              <w:rPr>
                <w:color w:val="000000" w:themeColor="text1"/>
                <w:sz w:val="20"/>
                <w:szCs w:val="20"/>
              </w:rPr>
            </w:pPr>
          </w:p>
          <w:p w14:paraId="11F0AF48" w14:textId="7E10D191" w:rsidR="005E669E" w:rsidRDefault="005E669E" w:rsidP="005E669E">
            <w:pPr>
              <w:rPr>
                <w:color w:val="000000" w:themeColor="text1"/>
                <w:sz w:val="20"/>
                <w:szCs w:val="20"/>
              </w:rPr>
            </w:pPr>
            <w:r w:rsidRPr="00A262A4">
              <w:rPr>
                <w:color w:val="000000" w:themeColor="text1"/>
                <w:sz w:val="20"/>
                <w:szCs w:val="20"/>
              </w:rPr>
              <w:t>The rationale for estimating GHG emissions that arise from potential government policies is “to inform key climate change policy decisions”. Policies shall be developed to meet United Kingdom of Great Britain and Northern Ireland short and long-term CO2 reduction targets, which establish choices between competing objectives (</w:t>
            </w:r>
            <w:r w:rsidR="00E4256C" w:rsidRPr="00566796">
              <w:rPr>
                <w:color w:val="000000" w:themeColor="text1"/>
                <w:sz w:val="20"/>
                <w:szCs w:val="20"/>
              </w:rPr>
              <w:t>BIS 2010</w:t>
            </w:r>
            <w:r w:rsidRPr="00A262A4">
              <w:rPr>
                <w:i/>
                <w:color w:val="000000" w:themeColor="text1"/>
                <w:sz w:val="20"/>
                <w:szCs w:val="20"/>
              </w:rPr>
              <w:t>.</w:t>
            </w:r>
            <w:r w:rsidRPr="00A262A4">
              <w:rPr>
                <w:color w:val="000000" w:themeColor="text1"/>
                <w:sz w:val="20"/>
                <w:szCs w:val="20"/>
              </w:rPr>
              <w:t>). GHG tests are applied within the overall cost–benefit analysis to assess whether a policy is cost-effective in comparison with other alternatives (</w:t>
            </w:r>
            <w:r w:rsidRPr="00A262A4">
              <w:rPr>
                <w:i/>
                <w:color w:val="000000" w:themeColor="text1"/>
                <w:sz w:val="20"/>
                <w:szCs w:val="20"/>
              </w:rPr>
              <w:t>ibid.</w:t>
            </w:r>
            <w:r w:rsidRPr="00A262A4">
              <w:rPr>
                <w:color w:val="000000" w:themeColor="text1"/>
                <w:sz w:val="20"/>
                <w:szCs w:val="20"/>
              </w:rPr>
              <w:t>, p. 91).</w:t>
            </w:r>
          </w:p>
          <w:p w14:paraId="1E8C8A5C" w14:textId="77777777" w:rsidR="005E669E" w:rsidRPr="00A262A4" w:rsidRDefault="005E669E" w:rsidP="005E669E">
            <w:pPr>
              <w:rPr>
                <w:color w:val="000000" w:themeColor="text1"/>
                <w:sz w:val="20"/>
                <w:szCs w:val="20"/>
              </w:rPr>
            </w:pPr>
          </w:p>
          <w:p w14:paraId="5981192D" w14:textId="180CE097" w:rsidR="005E669E" w:rsidRDefault="005E669E" w:rsidP="005E669E">
            <w:pPr>
              <w:rPr>
                <w:color w:val="000000" w:themeColor="text1"/>
                <w:sz w:val="20"/>
                <w:szCs w:val="20"/>
              </w:rPr>
            </w:pPr>
            <w:r w:rsidRPr="00A262A4">
              <w:rPr>
                <w:color w:val="000000" w:themeColor="text1"/>
                <w:sz w:val="20"/>
                <w:szCs w:val="20"/>
              </w:rPr>
              <w:t>The approach of estimating the social cost of carbon was reviewed in 2007. As a result, it was replaced by the shadow price of carbon to allow for consideration of then more recent evidence drawn from the Stern Review. In 2009, the shadow price of carbon was in turn revised and replaced by a target-consistent approach (</w:t>
            </w:r>
            <w:r w:rsidR="00C35926">
              <w:rPr>
                <w:color w:val="000000" w:themeColor="text1"/>
                <w:sz w:val="20"/>
                <w:szCs w:val="20"/>
              </w:rPr>
              <w:t xml:space="preserve">United Kingdom, </w:t>
            </w:r>
            <w:r w:rsidRPr="00A262A4">
              <w:rPr>
                <w:color w:val="000000" w:themeColor="text1"/>
                <w:sz w:val="20"/>
                <w:szCs w:val="20"/>
              </w:rPr>
              <w:t>Department of Energy and Climate Change [DECC] 2009, p. 5).</w:t>
            </w:r>
          </w:p>
          <w:p w14:paraId="1C3B90E3" w14:textId="77777777" w:rsidR="00A60E5C" w:rsidRPr="00A262A4" w:rsidRDefault="00A60E5C" w:rsidP="005E669E">
            <w:pPr>
              <w:rPr>
                <w:color w:val="000000" w:themeColor="text1"/>
                <w:sz w:val="20"/>
                <w:szCs w:val="20"/>
              </w:rPr>
            </w:pPr>
          </w:p>
          <w:p w14:paraId="70B5AFE8" w14:textId="3432264A" w:rsidR="005E669E" w:rsidRDefault="005E669E" w:rsidP="00A60E5C">
            <w:r w:rsidRPr="00A262A4">
              <w:rPr>
                <w:i/>
                <w:color w:val="000000" w:themeColor="text1"/>
                <w:sz w:val="20"/>
                <w:szCs w:val="20"/>
              </w:rPr>
              <w:t>Source:</w:t>
            </w:r>
            <w:r w:rsidRPr="00A262A4">
              <w:rPr>
                <w:color w:val="000000" w:themeColor="text1"/>
                <w:sz w:val="20"/>
                <w:szCs w:val="20"/>
              </w:rPr>
              <w:t xml:space="preserve"> Jacob </w:t>
            </w:r>
            <w:r w:rsidRPr="00210EEC">
              <w:rPr>
                <w:i/>
                <w:color w:val="000000" w:themeColor="text1"/>
                <w:sz w:val="20"/>
                <w:szCs w:val="20"/>
              </w:rPr>
              <w:t>et al.</w:t>
            </w:r>
            <w:r w:rsidRPr="00A262A4">
              <w:rPr>
                <w:color w:val="000000" w:themeColor="text1"/>
                <w:sz w:val="20"/>
                <w:szCs w:val="20"/>
              </w:rPr>
              <w:t xml:space="preserve"> (2011).</w:t>
            </w:r>
          </w:p>
        </w:tc>
      </w:tr>
    </w:tbl>
    <w:p w14:paraId="3B801A01" w14:textId="77777777" w:rsidR="005E669E" w:rsidRPr="007C367A" w:rsidRDefault="005E669E" w:rsidP="007C367A"/>
    <w:p w14:paraId="066043A0" w14:textId="77777777" w:rsidR="00FA1C78" w:rsidRPr="00B04299" w:rsidRDefault="009B7F0F" w:rsidP="00B04299">
      <w:pPr>
        <w:pStyle w:val="Heading3"/>
      </w:pPr>
      <w:bookmarkStart w:id="71" w:name="_l3osd03haqzy" w:colFirst="0" w:colLast="0"/>
      <w:bookmarkStart w:id="72" w:name="_Toc511747977"/>
      <w:bookmarkEnd w:id="71"/>
      <w:r w:rsidRPr="00B04299">
        <w:t>Other p</w:t>
      </w:r>
      <w:r w:rsidR="008816C2" w:rsidRPr="00B04299">
        <w:t>olicy integration tools</w:t>
      </w:r>
      <w:bookmarkEnd w:id="72"/>
    </w:p>
    <w:p w14:paraId="341C6B9B" w14:textId="7A20EDF6" w:rsidR="00FA1C78" w:rsidRPr="00577C42" w:rsidRDefault="008816C2" w:rsidP="00086545">
      <w:pPr>
        <w:rPr>
          <w:color w:val="auto"/>
        </w:rPr>
      </w:pPr>
      <w:r w:rsidRPr="00577C42">
        <w:rPr>
          <w:color w:val="auto"/>
        </w:rPr>
        <w:t xml:space="preserve">There are other tools for policy integration besides the tools of regulatory policies such as </w:t>
      </w:r>
      <w:r w:rsidR="00486FEE" w:rsidRPr="00577C42">
        <w:rPr>
          <w:color w:val="auto"/>
        </w:rPr>
        <w:t>r</w:t>
      </w:r>
      <w:r w:rsidRPr="00577C42">
        <w:rPr>
          <w:color w:val="auto"/>
        </w:rPr>
        <w:t xml:space="preserve">egulatory </w:t>
      </w:r>
      <w:r w:rsidR="00486FEE" w:rsidRPr="00577C42">
        <w:rPr>
          <w:color w:val="auto"/>
        </w:rPr>
        <w:t>i</w:t>
      </w:r>
      <w:r w:rsidRPr="00577C42">
        <w:rPr>
          <w:color w:val="auto"/>
        </w:rPr>
        <w:t xml:space="preserve">mpact </w:t>
      </w:r>
      <w:r w:rsidR="00486FEE" w:rsidRPr="00577C42">
        <w:rPr>
          <w:color w:val="auto"/>
        </w:rPr>
        <w:t>a</w:t>
      </w:r>
      <w:r w:rsidRPr="00577C42">
        <w:rPr>
          <w:color w:val="auto"/>
        </w:rPr>
        <w:t xml:space="preserve">ssessments. Environmental impact assessments (EIAs) are used around the world, especially on major projects such as dams and other infrastructure (Morgan </w:t>
      </w:r>
      <w:r w:rsidR="00FA1C78" w:rsidRPr="00C032D3">
        <w:rPr>
          <w:color w:val="auto"/>
        </w:rPr>
        <w:t>2012</w:t>
      </w:r>
      <w:r w:rsidRPr="00577C42">
        <w:rPr>
          <w:color w:val="auto"/>
        </w:rPr>
        <w:t>). EIA has been used steadily over the last two decades and is rec</w:t>
      </w:r>
      <w:r w:rsidR="00FA1C78" w:rsidRPr="00C032D3">
        <w:rPr>
          <w:color w:val="auto"/>
        </w:rPr>
        <w:t>o</w:t>
      </w:r>
      <w:r w:rsidR="00FA1C78" w:rsidRPr="00577C42">
        <w:rPr>
          <w:color w:val="auto"/>
        </w:rPr>
        <w:t>gn</w:t>
      </w:r>
      <w:r w:rsidRPr="00577C42">
        <w:rPr>
          <w:color w:val="auto"/>
        </w:rPr>
        <w:t xml:space="preserve">ized in </w:t>
      </w:r>
      <w:proofErr w:type="gramStart"/>
      <w:r w:rsidRPr="00577C42">
        <w:rPr>
          <w:color w:val="auto"/>
        </w:rPr>
        <w:t>a large number of</w:t>
      </w:r>
      <w:proofErr w:type="gramEnd"/>
      <w:r w:rsidRPr="00577C42">
        <w:rPr>
          <w:color w:val="auto"/>
        </w:rPr>
        <w:t xml:space="preserve"> international agreements (for example</w:t>
      </w:r>
      <w:r w:rsidR="00486FEE" w:rsidRPr="00577C42">
        <w:rPr>
          <w:color w:val="auto"/>
        </w:rPr>
        <w:t>,</w:t>
      </w:r>
      <w:r w:rsidRPr="00577C42">
        <w:rPr>
          <w:color w:val="auto"/>
        </w:rPr>
        <w:t xml:space="preserve"> </w:t>
      </w:r>
      <w:r w:rsidR="00486FEE" w:rsidRPr="00577C42">
        <w:rPr>
          <w:color w:val="auto"/>
        </w:rPr>
        <w:t xml:space="preserve">the </w:t>
      </w:r>
      <w:r w:rsidRPr="00577C42">
        <w:rPr>
          <w:color w:val="auto"/>
        </w:rPr>
        <w:t>Espoo Convention, Ramsar Convention, Aarhus Convention, UNFCCC, UNCLOS</w:t>
      </w:r>
      <w:r w:rsidR="00486FEE" w:rsidRPr="00577C42">
        <w:rPr>
          <w:color w:val="auto"/>
        </w:rPr>
        <w:t xml:space="preserve"> and the</w:t>
      </w:r>
      <w:r w:rsidRPr="00577C42">
        <w:rPr>
          <w:color w:val="auto"/>
        </w:rPr>
        <w:t xml:space="preserve"> </w:t>
      </w:r>
      <w:r w:rsidR="00E5726F" w:rsidRPr="00577C42">
        <w:rPr>
          <w:color w:val="auto"/>
        </w:rPr>
        <w:t>Protocol on Environmental Protection to the Antarctic Treaty (Madrid Protocol)</w:t>
      </w:r>
      <w:r w:rsidRPr="00577C42">
        <w:rPr>
          <w:color w:val="auto"/>
        </w:rPr>
        <w:t>).</w:t>
      </w:r>
    </w:p>
    <w:p w14:paraId="4FE9A406" w14:textId="267A0BF7" w:rsidR="00FA1C78" w:rsidRPr="00577C42" w:rsidRDefault="008816C2" w:rsidP="00086545">
      <w:pPr>
        <w:rPr>
          <w:color w:val="auto"/>
        </w:rPr>
      </w:pPr>
      <w:r w:rsidRPr="00577C42">
        <w:rPr>
          <w:color w:val="auto"/>
        </w:rPr>
        <w:t xml:space="preserve">Strategic </w:t>
      </w:r>
      <w:r w:rsidR="00486FEE" w:rsidRPr="00577C42">
        <w:rPr>
          <w:color w:val="auto"/>
        </w:rPr>
        <w:t>e</w:t>
      </w:r>
      <w:r w:rsidRPr="00577C42">
        <w:rPr>
          <w:color w:val="auto"/>
        </w:rPr>
        <w:t xml:space="preserve">nvironmental </w:t>
      </w:r>
      <w:r w:rsidR="00486FEE" w:rsidRPr="00577C42">
        <w:rPr>
          <w:color w:val="auto"/>
        </w:rPr>
        <w:t>a</w:t>
      </w:r>
      <w:r w:rsidRPr="00577C42">
        <w:rPr>
          <w:color w:val="auto"/>
        </w:rPr>
        <w:t xml:space="preserve">ssessment (SEA) was </w:t>
      </w:r>
      <w:r w:rsidR="00FA1C78" w:rsidRPr="00577C42">
        <w:rPr>
          <w:color w:val="auto"/>
        </w:rPr>
        <w:t>elaborat</w:t>
      </w:r>
      <w:r w:rsidRPr="00577C42">
        <w:rPr>
          <w:color w:val="auto"/>
        </w:rPr>
        <w:t>ed as an extension of EIA</w:t>
      </w:r>
      <w:r w:rsidR="00FA1C78" w:rsidRPr="00577C42">
        <w:rPr>
          <w:color w:val="auto"/>
        </w:rPr>
        <w:t>’</w:t>
      </w:r>
      <w:r w:rsidRPr="00577C42">
        <w:rPr>
          <w:color w:val="auto"/>
        </w:rPr>
        <w:t xml:space="preserve">s </w:t>
      </w:r>
      <w:r w:rsidR="00FA1C78" w:rsidRPr="00C032D3">
        <w:rPr>
          <w:color w:val="auto"/>
        </w:rPr>
        <w:t>principle</w:t>
      </w:r>
      <w:r w:rsidRPr="00577C42">
        <w:rPr>
          <w:color w:val="auto"/>
        </w:rPr>
        <w:t xml:space="preserve">s, procedures and methods to higher levels of decision-making (Lee and Walsh </w:t>
      </w:r>
      <w:r w:rsidR="00FA1C78" w:rsidRPr="00C032D3">
        <w:rPr>
          <w:color w:val="auto"/>
        </w:rPr>
        <w:t>1992</w:t>
      </w:r>
      <w:r w:rsidRPr="00577C42">
        <w:rPr>
          <w:color w:val="auto"/>
        </w:rPr>
        <w:t>). SEA is seen as a tool able to evaluate a set of policies with broader lenses and within a more systematic and comprehensive process of evaluating the environmental impacts of a policy, plan or pr</w:t>
      </w:r>
      <w:r w:rsidR="00FA1C78" w:rsidRPr="00577C42">
        <w:rPr>
          <w:color w:val="auto"/>
        </w:rPr>
        <w:t>ogra</w:t>
      </w:r>
      <w:r w:rsidRPr="00577C42">
        <w:rPr>
          <w:color w:val="auto"/>
        </w:rPr>
        <w:t>mme and its alternatives. SEA is the process by which environmental considerations are fully integrated into the preparation of plans and pr</w:t>
      </w:r>
      <w:r w:rsidR="00FA1C78" w:rsidRPr="00577C42">
        <w:rPr>
          <w:color w:val="auto"/>
        </w:rPr>
        <w:t>ogra</w:t>
      </w:r>
      <w:r w:rsidRPr="00577C42">
        <w:rPr>
          <w:color w:val="auto"/>
        </w:rPr>
        <w:t>mmes prior to their final adoption. The objectives of the SEA process are to “provide for a high level of protection of the environment and to promote sustainable development by contributing to the integration of environmental considerations into the preparation and adoption of specified Plans and Programmes” (</w:t>
      </w:r>
      <w:r w:rsidR="00566A18" w:rsidRPr="0098561F">
        <w:rPr>
          <w:rFonts w:asciiTheme="minorHAnsi" w:hAnsiTheme="minorHAnsi" w:cs="Segoe UI"/>
          <w:color w:val="auto"/>
          <w:lang w:val="en-US"/>
        </w:rPr>
        <w:t>United Kingdom Environmental Protection Agency</w:t>
      </w:r>
      <w:r w:rsidR="00566A18" w:rsidRPr="00566A18">
        <w:rPr>
          <w:color w:val="auto"/>
        </w:rPr>
        <w:t xml:space="preserve"> </w:t>
      </w:r>
      <w:r w:rsidR="00566A18">
        <w:rPr>
          <w:color w:val="auto"/>
        </w:rPr>
        <w:t xml:space="preserve">[UK </w:t>
      </w:r>
      <w:r w:rsidRPr="00577C42">
        <w:rPr>
          <w:color w:val="auto"/>
        </w:rPr>
        <w:t>EPA</w:t>
      </w:r>
      <w:r w:rsidR="00566A18">
        <w:rPr>
          <w:color w:val="auto"/>
        </w:rPr>
        <w:t>] 2018</w:t>
      </w:r>
      <w:r w:rsidR="00486FEE" w:rsidRPr="00577C42">
        <w:rPr>
          <w:color w:val="auto"/>
        </w:rPr>
        <w:t>).</w:t>
      </w:r>
    </w:p>
    <w:p w14:paraId="1D867B92" w14:textId="3329D8E6" w:rsidR="00FA1C78" w:rsidRPr="00577C42" w:rsidRDefault="008816C2" w:rsidP="00086545">
      <w:pPr>
        <w:rPr>
          <w:color w:val="auto"/>
        </w:rPr>
      </w:pPr>
      <w:r w:rsidRPr="00577C42">
        <w:rPr>
          <w:color w:val="auto"/>
        </w:rPr>
        <w:t>For the European Commission, the SEA procedure can be summarized as follows: “an environmental report is prepared in which the likely significant effects on the environment and the reasonable alternatives of the proposed plan or programme are identified. The public and the environmental authorities are informed and consulted on the draft plan or programme and the environmental report prepared</w:t>
      </w:r>
      <w:r w:rsidR="00486FEE" w:rsidRPr="00577C42">
        <w:rPr>
          <w:color w:val="auto"/>
        </w:rPr>
        <w:t>.</w:t>
      </w:r>
      <w:r w:rsidRPr="00577C42">
        <w:rPr>
          <w:color w:val="auto"/>
        </w:rPr>
        <w:t xml:space="preserve">” The EU ratified the Protocol on Strategic Environmental Assessment in November </w:t>
      </w:r>
      <w:r w:rsidR="00FA1C78" w:rsidRPr="00C032D3">
        <w:rPr>
          <w:color w:val="auto"/>
        </w:rPr>
        <w:t>2008</w:t>
      </w:r>
      <w:r w:rsidRPr="00577C42">
        <w:rPr>
          <w:color w:val="auto"/>
        </w:rPr>
        <w:t xml:space="preserve">. The SEA </w:t>
      </w:r>
      <w:r w:rsidRPr="00577C42">
        <w:rPr>
          <w:color w:val="auto"/>
        </w:rPr>
        <w:lastRenderedPageBreak/>
        <w:t xml:space="preserve">Directive (Directive </w:t>
      </w:r>
      <w:r w:rsidR="00FA1C78" w:rsidRPr="00C032D3">
        <w:rPr>
          <w:color w:val="auto"/>
        </w:rPr>
        <w:t>2001</w:t>
      </w:r>
      <w:r w:rsidRPr="00577C42">
        <w:rPr>
          <w:color w:val="auto"/>
        </w:rPr>
        <w:t>/42/EC) transposes the Protocol in EU legislation</w:t>
      </w:r>
      <w:r w:rsidR="00FD7A56">
        <w:rPr>
          <w:color w:val="auto"/>
        </w:rPr>
        <w:t xml:space="preserve"> (European Commission 2001)</w:t>
      </w:r>
      <w:r w:rsidR="00486FEE" w:rsidRPr="00577C42">
        <w:rPr>
          <w:color w:val="auto"/>
        </w:rPr>
        <w:t>.</w:t>
      </w:r>
    </w:p>
    <w:p w14:paraId="4422CF48" w14:textId="6A4F48D3" w:rsidR="00FA1C78" w:rsidRPr="00577C42" w:rsidRDefault="008816C2" w:rsidP="00086545">
      <w:pPr>
        <w:rPr>
          <w:color w:val="auto"/>
        </w:rPr>
      </w:pPr>
      <w:r w:rsidRPr="00577C42">
        <w:rPr>
          <w:color w:val="auto"/>
        </w:rPr>
        <w:t>There is little evidence on the actual outcomes of applying the various tools of policy integration and attempts to measure the level of policy integration</w:t>
      </w:r>
      <w:r w:rsidR="00F60E9A" w:rsidRPr="00577C42">
        <w:rPr>
          <w:color w:val="auto"/>
        </w:rPr>
        <w:t>, and most examples of evaluations were undertaken in the context of Europe</w:t>
      </w:r>
      <w:r w:rsidRPr="00577C42">
        <w:rPr>
          <w:color w:val="auto"/>
        </w:rPr>
        <w:t xml:space="preserve">. </w:t>
      </w:r>
      <w:r w:rsidR="003A2A49" w:rsidRPr="00577C42">
        <w:rPr>
          <w:color w:val="auto"/>
        </w:rPr>
        <w:t>For example, in countries where environmental liability is weakly developed, EIA/SEA tools may have limited effectiveness</w:t>
      </w:r>
      <w:r w:rsidR="00214DE3" w:rsidRPr="00577C42">
        <w:rPr>
          <w:color w:val="auto"/>
        </w:rPr>
        <w:t xml:space="preserve"> (</w:t>
      </w:r>
      <w:r w:rsidR="00566A18">
        <w:rPr>
          <w:color w:val="auto"/>
        </w:rPr>
        <w:t xml:space="preserve">United Nations </w:t>
      </w:r>
      <w:r w:rsidR="00214DE3" w:rsidRPr="00577C42">
        <w:rPr>
          <w:color w:val="auto"/>
        </w:rPr>
        <w:t xml:space="preserve">Economic Commission for Africa </w:t>
      </w:r>
      <w:r w:rsidR="00FA1C78" w:rsidRPr="00C032D3">
        <w:rPr>
          <w:color w:val="auto"/>
        </w:rPr>
        <w:t>2005</w:t>
      </w:r>
      <w:r w:rsidR="00214DE3" w:rsidRPr="00577C42">
        <w:rPr>
          <w:color w:val="auto"/>
        </w:rPr>
        <w:t xml:space="preserve">; Kotze and Plessis </w:t>
      </w:r>
      <w:r w:rsidR="00FA1C78" w:rsidRPr="00C032D3">
        <w:rPr>
          <w:color w:val="auto"/>
        </w:rPr>
        <w:t>2006</w:t>
      </w:r>
      <w:r w:rsidR="00214DE3" w:rsidRPr="00577C42">
        <w:rPr>
          <w:color w:val="auto"/>
        </w:rPr>
        <w:t xml:space="preserve">; </w:t>
      </w:r>
      <w:proofErr w:type="spellStart"/>
      <w:r w:rsidR="00214DE3" w:rsidRPr="00577C42">
        <w:rPr>
          <w:color w:val="auto"/>
        </w:rPr>
        <w:t>Gitari</w:t>
      </w:r>
      <w:proofErr w:type="spellEnd"/>
      <w:r w:rsidR="00214DE3" w:rsidRPr="00577C42">
        <w:rPr>
          <w:color w:val="auto"/>
        </w:rPr>
        <w:t xml:space="preserve"> </w:t>
      </w:r>
      <w:r w:rsidR="00214DE3" w:rsidRPr="00577C42">
        <w:rPr>
          <w:i/>
          <w:color w:val="auto"/>
        </w:rPr>
        <w:t>et al.</w:t>
      </w:r>
      <w:r w:rsidR="00214DE3" w:rsidRPr="00577C42">
        <w:rPr>
          <w:color w:val="auto"/>
        </w:rPr>
        <w:t xml:space="preserve"> </w:t>
      </w:r>
      <w:r w:rsidR="00FA1C78" w:rsidRPr="00C032D3">
        <w:rPr>
          <w:color w:val="auto"/>
        </w:rPr>
        <w:t>2016</w:t>
      </w:r>
      <w:r w:rsidR="00214DE3" w:rsidRPr="00577C42">
        <w:rPr>
          <w:color w:val="auto"/>
        </w:rPr>
        <w:t>)</w:t>
      </w:r>
      <w:r w:rsidR="003A2A49" w:rsidRPr="00577C42">
        <w:rPr>
          <w:color w:val="auto"/>
        </w:rPr>
        <w:t>.</w:t>
      </w:r>
    </w:p>
    <w:p w14:paraId="7001F16F" w14:textId="48257C5A" w:rsidR="00FA1C78" w:rsidRPr="00577C42" w:rsidRDefault="008816C2" w:rsidP="00086545">
      <w:pPr>
        <w:rPr>
          <w:color w:val="auto"/>
        </w:rPr>
      </w:pPr>
      <w:r w:rsidRPr="00577C42">
        <w:rPr>
          <w:color w:val="auto"/>
        </w:rPr>
        <w:t>Among the few exceptions is the</w:t>
      </w:r>
      <w:r w:rsidR="00C426CA">
        <w:rPr>
          <w:color w:val="auto"/>
        </w:rPr>
        <w:t xml:space="preserve"> Publishing and the Ecology of European Research</w:t>
      </w:r>
      <w:r w:rsidRPr="00577C42">
        <w:rPr>
          <w:color w:val="auto"/>
        </w:rPr>
        <w:t xml:space="preserve"> </w:t>
      </w:r>
      <w:r w:rsidR="00C426CA">
        <w:rPr>
          <w:color w:val="auto"/>
        </w:rPr>
        <w:t>(</w:t>
      </w:r>
      <w:r w:rsidRPr="00577C42">
        <w:rPr>
          <w:color w:val="auto"/>
        </w:rPr>
        <w:t>PEER</w:t>
      </w:r>
      <w:r w:rsidR="00C426CA">
        <w:rPr>
          <w:color w:val="auto"/>
        </w:rPr>
        <w:t>)</w:t>
      </w:r>
      <w:r w:rsidRPr="00577C42">
        <w:rPr>
          <w:color w:val="auto"/>
        </w:rPr>
        <w:t xml:space="preserve"> project (</w:t>
      </w:r>
      <w:proofErr w:type="spellStart"/>
      <w:r w:rsidRPr="00577C42">
        <w:rPr>
          <w:color w:val="auto"/>
        </w:rPr>
        <w:t>Mickwitz</w:t>
      </w:r>
      <w:proofErr w:type="spellEnd"/>
      <w:r w:rsidRPr="00577C42">
        <w:rPr>
          <w:color w:val="auto"/>
        </w:rPr>
        <w:t xml:space="preserve"> </w:t>
      </w:r>
      <w:r w:rsidR="00E468C6" w:rsidRPr="00577C42">
        <w:rPr>
          <w:i/>
          <w:color w:val="auto"/>
        </w:rPr>
        <w:t>et al.</w:t>
      </w:r>
      <w:r w:rsidR="00E468C6" w:rsidRPr="00577C42">
        <w:rPr>
          <w:color w:val="auto"/>
        </w:rPr>
        <w:t xml:space="preserve"> </w:t>
      </w:r>
      <w:r w:rsidR="00FA1C78" w:rsidRPr="00C032D3">
        <w:rPr>
          <w:color w:val="auto"/>
        </w:rPr>
        <w:t>2009</w:t>
      </w:r>
      <w:r w:rsidRPr="00577C42">
        <w:rPr>
          <w:color w:val="auto"/>
        </w:rPr>
        <w:t>). The study assessed the extent of climate policy integration in different European countries, policy sectors and</w:t>
      </w:r>
      <w:r w:rsidR="00486FEE" w:rsidRPr="00577C42">
        <w:rPr>
          <w:color w:val="auto"/>
        </w:rPr>
        <w:t>,</w:t>
      </w:r>
      <w:r w:rsidRPr="00577C42">
        <w:rPr>
          <w:color w:val="auto"/>
        </w:rPr>
        <w:t xml:space="preserve"> in some cases</w:t>
      </w:r>
      <w:r w:rsidR="00486FEE" w:rsidRPr="00577C42">
        <w:rPr>
          <w:color w:val="auto"/>
        </w:rPr>
        <w:t>,</w:t>
      </w:r>
      <w:r w:rsidRPr="00577C42">
        <w:rPr>
          <w:color w:val="auto"/>
        </w:rPr>
        <w:t xml:space="preserve"> regions and municipalities. The assessment is based on five criteria: inclusion, consistency, weighting, reporting and resources. The report also analyses measures and means for enhancing climate policy integration and improving policy coherence in each country of many policies, but mostly centred on one or two, and on some regions and municipalities. With th</w:t>
      </w:r>
      <w:r w:rsidR="00486FEE" w:rsidRPr="00577C42">
        <w:rPr>
          <w:color w:val="auto"/>
        </w:rPr>
        <w:t>is</w:t>
      </w:r>
      <w:r w:rsidRPr="00577C42">
        <w:rPr>
          <w:color w:val="auto"/>
        </w:rPr>
        <w:t xml:space="preserve"> work it was possible to draw some conclusions, such as the fact that </w:t>
      </w:r>
      <w:r w:rsidR="00C426CA">
        <w:rPr>
          <w:color w:val="auto"/>
        </w:rPr>
        <w:t xml:space="preserve">reducing emissions </w:t>
      </w:r>
      <w:r w:rsidRPr="00577C42">
        <w:rPr>
          <w:color w:val="auto"/>
        </w:rPr>
        <w:t>has become a key political issue</w:t>
      </w:r>
      <w:r w:rsidR="00486FEE" w:rsidRPr="00577C42">
        <w:rPr>
          <w:color w:val="auto"/>
        </w:rPr>
        <w:t>,</w:t>
      </w:r>
      <w:r w:rsidRPr="00577C42">
        <w:rPr>
          <w:color w:val="auto"/>
        </w:rPr>
        <w:t xml:space="preserve"> and climate change is widely integrated into government pr</w:t>
      </w:r>
      <w:r w:rsidR="00FA1C78" w:rsidRPr="00577C42">
        <w:rPr>
          <w:color w:val="auto"/>
        </w:rPr>
        <w:t>ogra</w:t>
      </w:r>
      <w:r w:rsidRPr="00577C42">
        <w:rPr>
          <w:color w:val="auto"/>
        </w:rPr>
        <w:t>mmes. The selected countries rec</w:t>
      </w:r>
      <w:r w:rsidR="00FA1C78" w:rsidRPr="00C032D3">
        <w:rPr>
          <w:color w:val="auto"/>
        </w:rPr>
        <w:t>o</w:t>
      </w:r>
      <w:r w:rsidR="00FA1C78" w:rsidRPr="00577C42">
        <w:rPr>
          <w:color w:val="auto"/>
        </w:rPr>
        <w:t>gn</w:t>
      </w:r>
      <w:r w:rsidRPr="00577C42">
        <w:rPr>
          <w:color w:val="auto"/>
        </w:rPr>
        <w:t>ized the need for climate policy integration if the more ambitious climate change mitigation commitments are to be achieved.</w:t>
      </w:r>
    </w:p>
    <w:p w14:paraId="6A52C095" w14:textId="20D85F19" w:rsidR="00FA1C78" w:rsidRPr="00577C42" w:rsidRDefault="008816C2" w:rsidP="00086545">
      <w:pPr>
        <w:rPr>
          <w:color w:val="auto"/>
        </w:rPr>
      </w:pPr>
      <w:r w:rsidRPr="00577C42">
        <w:rPr>
          <w:color w:val="auto"/>
        </w:rPr>
        <w:t>In terms of policy integration, one lesson from PEER is that cities and municipalities have also integrated climate aims in their strategies and in specific measures</w:t>
      </w:r>
      <w:r w:rsidR="00486FEE" w:rsidRPr="00577C42">
        <w:rPr>
          <w:color w:val="auto"/>
        </w:rPr>
        <w:t>,</w:t>
      </w:r>
      <w:r w:rsidRPr="00577C42">
        <w:rPr>
          <w:color w:val="auto"/>
        </w:rPr>
        <w:t xml:space="preserve"> and their goals are sometimes more ambitious than those of their respective countries. The study also </w:t>
      </w:r>
      <w:r w:rsidR="00486FEE" w:rsidRPr="00577C42">
        <w:rPr>
          <w:color w:val="auto"/>
        </w:rPr>
        <w:t xml:space="preserve">highlights </w:t>
      </w:r>
      <w:r w:rsidRPr="00577C42">
        <w:rPr>
          <w:color w:val="auto"/>
        </w:rPr>
        <w:t xml:space="preserve">that effective climate policy integration will require </w:t>
      </w:r>
      <w:proofErr w:type="gramStart"/>
      <w:r w:rsidRPr="00577C42">
        <w:rPr>
          <w:color w:val="auto"/>
        </w:rPr>
        <w:t>sufficient</w:t>
      </w:r>
      <w:proofErr w:type="gramEnd"/>
      <w:r w:rsidRPr="00577C42">
        <w:rPr>
          <w:color w:val="auto"/>
        </w:rPr>
        <w:t xml:space="preserve"> resources in the form of knowledge and money. Without these resources, there will be no realistic possibility of truly rec</w:t>
      </w:r>
      <w:r w:rsidR="00FA1C78" w:rsidRPr="00C032D3">
        <w:rPr>
          <w:color w:val="auto"/>
        </w:rPr>
        <w:t>o</w:t>
      </w:r>
      <w:r w:rsidR="00FA1C78" w:rsidRPr="00577C42">
        <w:rPr>
          <w:color w:val="auto"/>
        </w:rPr>
        <w:t>gn</w:t>
      </w:r>
      <w:r w:rsidRPr="00577C42">
        <w:rPr>
          <w:color w:val="auto"/>
        </w:rPr>
        <w:t>izing the links between general or sectoral policies and climate change or of finding alternatives and implement</w:t>
      </w:r>
      <w:r w:rsidR="00486FEE" w:rsidRPr="00577C42">
        <w:rPr>
          <w:color w:val="auto"/>
        </w:rPr>
        <w:t>ing</w:t>
      </w:r>
      <w:r w:rsidRPr="00577C42">
        <w:rPr>
          <w:color w:val="auto"/>
        </w:rPr>
        <w:t xml:space="preserve"> them. </w:t>
      </w:r>
      <w:r w:rsidR="00486FEE" w:rsidRPr="00577C42">
        <w:rPr>
          <w:color w:val="auto"/>
        </w:rPr>
        <w:t>According to the PEER project</w:t>
      </w:r>
      <w:r w:rsidRPr="00577C42">
        <w:rPr>
          <w:color w:val="auto"/>
        </w:rPr>
        <w:t xml:space="preserve">, given the great complexity of the </w:t>
      </w:r>
      <w:r w:rsidR="00FA1C78" w:rsidRPr="00C032D3">
        <w:rPr>
          <w:color w:val="auto"/>
        </w:rPr>
        <w:t>socio</w:t>
      </w:r>
      <w:r w:rsidR="00486FEE" w:rsidRPr="00C032D3">
        <w:rPr>
          <w:color w:val="auto"/>
        </w:rPr>
        <w:t>-</w:t>
      </w:r>
      <w:r w:rsidR="00FA1C78" w:rsidRPr="00C032D3">
        <w:rPr>
          <w:color w:val="auto"/>
        </w:rPr>
        <w:t>economic</w:t>
      </w:r>
      <w:r w:rsidRPr="00577C42">
        <w:rPr>
          <w:color w:val="auto"/>
        </w:rPr>
        <w:t xml:space="preserve"> processes that result in </w:t>
      </w:r>
      <w:r w:rsidR="00486FEE" w:rsidRPr="00577C42">
        <w:rPr>
          <w:color w:val="auto"/>
        </w:rPr>
        <w:t>GHG</w:t>
      </w:r>
      <w:r w:rsidRPr="00577C42">
        <w:rPr>
          <w:color w:val="auto"/>
        </w:rPr>
        <w:t xml:space="preserve"> </w:t>
      </w:r>
      <w:r w:rsidR="00FA1C78" w:rsidRPr="00577C42">
        <w:rPr>
          <w:color w:val="auto"/>
        </w:rPr>
        <w:t>emission</w:t>
      </w:r>
      <w:r w:rsidRPr="00577C42">
        <w:rPr>
          <w:color w:val="auto"/>
        </w:rPr>
        <w:t xml:space="preserve">s, as </w:t>
      </w:r>
      <w:r w:rsidR="00FA1C78" w:rsidRPr="00C032D3">
        <w:rPr>
          <w:color w:val="auto"/>
        </w:rPr>
        <w:t>well</w:t>
      </w:r>
      <w:r w:rsidRPr="00577C42">
        <w:rPr>
          <w:color w:val="auto"/>
        </w:rPr>
        <w:t xml:space="preserve"> as those of adapting to a changing climate, policies need to be based on learning.</w:t>
      </w:r>
    </w:p>
    <w:p w14:paraId="347C5CA2" w14:textId="2E0CEFFE" w:rsidR="00FA1C78" w:rsidRPr="00577C42" w:rsidRDefault="000A0F9C" w:rsidP="00086545">
      <w:pPr>
        <w:rPr>
          <w:color w:val="auto"/>
        </w:rPr>
      </w:pPr>
      <w:r w:rsidRPr="00577C42">
        <w:rPr>
          <w:color w:val="auto"/>
        </w:rPr>
        <w:t xml:space="preserve">The increasing role of </w:t>
      </w:r>
      <w:r w:rsidR="00FA1C78" w:rsidRPr="00C032D3">
        <w:rPr>
          <w:color w:val="auto"/>
        </w:rPr>
        <w:t>non</w:t>
      </w:r>
      <w:r w:rsidR="00FA1C78" w:rsidRPr="00577C42">
        <w:rPr>
          <w:color w:val="auto"/>
        </w:rPr>
        <w:t>-</w:t>
      </w:r>
      <w:r w:rsidR="00486FEE" w:rsidRPr="00577C42">
        <w:rPr>
          <w:color w:val="auto"/>
        </w:rPr>
        <w:t>S</w:t>
      </w:r>
      <w:r w:rsidRPr="00577C42">
        <w:rPr>
          <w:color w:val="auto"/>
        </w:rPr>
        <w:t>tate actors</w:t>
      </w:r>
      <w:r w:rsidR="00C426CA">
        <w:rPr>
          <w:color w:val="auto"/>
        </w:rPr>
        <w:t xml:space="preserve"> (e.g. cities, civil society groups, etc.) </w:t>
      </w:r>
      <w:r w:rsidRPr="00577C42">
        <w:rPr>
          <w:color w:val="auto"/>
        </w:rPr>
        <w:t xml:space="preserve">in global climate governance is contributing considerably to </w:t>
      </w:r>
      <w:r w:rsidR="00486FEE" w:rsidRPr="00577C42">
        <w:rPr>
          <w:color w:val="auto"/>
        </w:rPr>
        <w:t xml:space="preserve">the </w:t>
      </w:r>
      <w:r w:rsidRPr="00577C42">
        <w:rPr>
          <w:color w:val="auto"/>
        </w:rPr>
        <w:t xml:space="preserve">advancement of mitigation efforts. The example of the announcement of the United States </w:t>
      </w:r>
      <w:r w:rsidR="00C426CA">
        <w:rPr>
          <w:color w:val="auto"/>
        </w:rPr>
        <w:t xml:space="preserve">pulling </w:t>
      </w:r>
      <w:r w:rsidRPr="00577C42">
        <w:rPr>
          <w:color w:val="auto"/>
        </w:rPr>
        <w:t xml:space="preserve">out </w:t>
      </w:r>
      <w:r w:rsidR="00486FEE" w:rsidRPr="00577C42">
        <w:rPr>
          <w:color w:val="auto"/>
        </w:rPr>
        <w:t xml:space="preserve">of </w:t>
      </w:r>
      <w:r w:rsidRPr="00577C42">
        <w:rPr>
          <w:color w:val="auto"/>
        </w:rPr>
        <w:t xml:space="preserve">the Paris </w:t>
      </w:r>
      <w:r w:rsidR="00486FEE" w:rsidRPr="00577C42">
        <w:rPr>
          <w:color w:val="auto"/>
        </w:rPr>
        <w:t>A</w:t>
      </w:r>
      <w:r w:rsidRPr="00577C42">
        <w:rPr>
          <w:color w:val="auto"/>
        </w:rPr>
        <w:t>greement demonstrate</w:t>
      </w:r>
      <w:r w:rsidR="00AD27B3" w:rsidRPr="00577C42">
        <w:rPr>
          <w:color w:val="auto"/>
        </w:rPr>
        <w:t>s</w:t>
      </w:r>
      <w:r w:rsidRPr="00577C42">
        <w:rPr>
          <w:color w:val="auto"/>
        </w:rPr>
        <w:t xml:space="preserve"> that climate policy integration is not a one</w:t>
      </w:r>
      <w:r w:rsidR="00100A6B" w:rsidRPr="00577C42">
        <w:rPr>
          <w:color w:val="auto"/>
        </w:rPr>
        <w:t>-</w:t>
      </w:r>
      <w:r w:rsidRPr="00577C42">
        <w:rPr>
          <w:color w:val="auto"/>
        </w:rPr>
        <w:t>way path but is reversible. Although the announcement possibly ha</w:t>
      </w:r>
      <w:r w:rsidR="00C426CA">
        <w:rPr>
          <w:color w:val="auto"/>
        </w:rPr>
        <w:t>d</w:t>
      </w:r>
      <w:r w:rsidRPr="00577C42">
        <w:rPr>
          <w:color w:val="auto"/>
        </w:rPr>
        <w:t xml:space="preserve"> no adverse impacts on the activities of US communities and firms to reduce GHG </w:t>
      </w:r>
      <w:r w:rsidR="00FA1C78" w:rsidRPr="00577C42">
        <w:rPr>
          <w:color w:val="auto"/>
        </w:rPr>
        <w:t>emission</w:t>
      </w:r>
      <w:r w:rsidRPr="00577C42">
        <w:rPr>
          <w:color w:val="auto"/>
        </w:rPr>
        <w:t xml:space="preserve">s, it still underpins the need for more robust </w:t>
      </w:r>
      <w:r w:rsidRPr="00C032D3">
        <w:rPr>
          <w:color w:val="auto"/>
        </w:rPr>
        <w:t>institutional</w:t>
      </w:r>
      <w:r w:rsidR="00FA1C78" w:rsidRPr="00C032D3">
        <w:rPr>
          <w:color w:val="auto"/>
        </w:rPr>
        <w:t>iza</w:t>
      </w:r>
      <w:r w:rsidRPr="00C032D3">
        <w:rPr>
          <w:color w:val="auto"/>
        </w:rPr>
        <w:t>tion</w:t>
      </w:r>
      <w:r w:rsidRPr="00577C42">
        <w:rPr>
          <w:color w:val="auto"/>
        </w:rPr>
        <w:t>.</w:t>
      </w:r>
    </w:p>
    <w:p w14:paraId="0A646B94" w14:textId="415FB937" w:rsidR="00FA1C78" w:rsidRPr="00577C42" w:rsidRDefault="008816C2" w:rsidP="00086545">
      <w:pPr>
        <w:rPr>
          <w:color w:val="auto"/>
        </w:rPr>
      </w:pPr>
      <w:r w:rsidRPr="00577C42">
        <w:rPr>
          <w:color w:val="auto"/>
        </w:rPr>
        <w:t xml:space="preserve">Another example </w:t>
      </w:r>
      <w:r w:rsidR="000F16F8" w:rsidRPr="00577C42">
        <w:rPr>
          <w:color w:val="auto"/>
        </w:rPr>
        <w:t xml:space="preserve">of a policy integration tool </w:t>
      </w:r>
      <w:r w:rsidRPr="00577C42">
        <w:rPr>
          <w:color w:val="auto"/>
        </w:rPr>
        <w:t xml:space="preserve">is the EU evaluation of its Common Agricultural Policy (CAP) compared to its energy policies. </w:t>
      </w:r>
      <w:r w:rsidR="00B16072" w:rsidRPr="00577C42">
        <w:rPr>
          <w:color w:val="auto"/>
        </w:rPr>
        <w:t xml:space="preserve">The </w:t>
      </w:r>
      <w:r w:rsidRPr="00577C42">
        <w:rPr>
          <w:color w:val="auto"/>
        </w:rPr>
        <w:t xml:space="preserve">CAP </w:t>
      </w:r>
      <w:proofErr w:type="gramStart"/>
      <w:r w:rsidRPr="00577C42">
        <w:rPr>
          <w:color w:val="auto"/>
        </w:rPr>
        <w:t>dates back to</w:t>
      </w:r>
      <w:proofErr w:type="gramEnd"/>
      <w:r w:rsidRPr="00577C42">
        <w:rPr>
          <w:color w:val="auto"/>
        </w:rPr>
        <w:t xml:space="preserve"> </w:t>
      </w:r>
      <w:r w:rsidR="00FA1C78" w:rsidRPr="00C032D3">
        <w:rPr>
          <w:color w:val="auto"/>
        </w:rPr>
        <w:t>1962</w:t>
      </w:r>
      <w:r w:rsidRPr="00577C42">
        <w:rPr>
          <w:color w:val="auto"/>
        </w:rPr>
        <w:t xml:space="preserve"> and is one of the oldest policies with the aim of </w:t>
      </w:r>
      <w:r w:rsidR="00C426CA">
        <w:rPr>
          <w:color w:val="auto"/>
        </w:rPr>
        <w:t xml:space="preserve">providing </w:t>
      </w:r>
      <w:r w:rsidRPr="00577C42">
        <w:rPr>
          <w:color w:val="auto"/>
        </w:rPr>
        <w:t xml:space="preserve">price support and food </w:t>
      </w:r>
      <w:r w:rsidRPr="00577C42">
        <w:rPr>
          <w:color w:val="auto"/>
        </w:rPr>
        <w:lastRenderedPageBreak/>
        <w:t xml:space="preserve">security. In </w:t>
      </w:r>
      <w:r w:rsidR="00FA1C78" w:rsidRPr="00C032D3">
        <w:rPr>
          <w:color w:val="auto"/>
        </w:rPr>
        <w:t>2013</w:t>
      </w:r>
      <w:r w:rsidRPr="00577C42">
        <w:rPr>
          <w:color w:val="auto"/>
        </w:rPr>
        <w:t>, CAP reforms placed sustainable development as a core objective of the pr</w:t>
      </w:r>
      <w:r w:rsidR="00FA1C78" w:rsidRPr="00577C42">
        <w:rPr>
          <w:color w:val="auto"/>
        </w:rPr>
        <w:t>ogra</w:t>
      </w:r>
      <w:r w:rsidRPr="00577C42">
        <w:rPr>
          <w:color w:val="auto"/>
        </w:rPr>
        <w:t>mme. Policy integration thus evolved from a traditional position that assumed agricultural and environmental objectives were intrinsically aligned</w:t>
      </w:r>
      <w:r w:rsidR="00C426CA">
        <w:rPr>
          <w:color w:val="auto"/>
        </w:rPr>
        <w:t>,</w:t>
      </w:r>
      <w:r w:rsidRPr="00577C42">
        <w:rPr>
          <w:color w:val="auto"/>
        </w:rPr>
        <w:t xml:space="preserve"> to a </w:t>
      </w:r>
      <w:r w:rsidR="00C426CA">
        <w:rPr>
          <w:color w:val="auto"/>
        </w:rPr>
        <w:t xml:space="preserve">broader </w:t>
      </w:r>
      <w:r w:rsidRPr="00577C42">
        <w:rPr>
          <w:color w:val="auto"/>
        </w:rPr>
        <w:t>rec</w:t>
      </w:r>
      <w:r w:rsidR="00FA1C78" w:rsidRPr="00C032D3">
        <w:rPr>
          <w:color w:val="auto"/>
        </w:rPr>
        <w:t>o</w:t>
      </w:r>
      <w:r w:rsidR="00FA1C78" w:rsidRPr="00577C42">
        <w:rPr>
          <w:color w:val="auto"/>
        </w:rPr>
        <w:t>gn</w:t>
      </w:r>
      <w:r w:rsidRPr="00577C42">
        <w:rPr>
          <w:color w:val="auto"/>
        </w:rPr>
        <w:t>ition that explicit environmental policy integration is necessary. Still, climate change considerations are conspicuously absent from the agricultural sector</w:t>
      </w:r>
      <w:r w:rsidR="003823B4">
        <w:rPr>
          <w:color w:val="auto"/>
        </w:rPr>
        <w:t xml:space="preserve"> policy efforts</w:t>
      </w:r>
      <w:r w:rsidRPr="00577C42">
        <w:rPr>
          <w:color w:val="auto"/>
        </w:rPr>
        <w:t>.</w:t>
      </w:r>
    </w:p>
    <w:p w14:paraId="27A1D0F1" w14:textId="1BF3EF55" w:rsidR="00FA1C78" w:rsidRPr="00577C42" w:rsidRDefault="008816C2" w:rsidP="00086545">
      <w:pPr>
        <w:rPr>
          <w:color w:val="auto"/>
        </w:rPr>
      </w:pPr>
      <w:r w:rsidRPr="00577C42">
        <w:rPr>
          <w:color w:val="auto"/>
        </w:rPr>
        <w:t>By contrast, energy policy</w:t>
      </w:r>
      <w:r w:rsidR="00C426CA">
        <w:rPr>
          <w:color w:val="auto"/>
        </w:rPr>
        <w:t xml:space="preserve"> development efforts have</w:t>
      </w:r>
      <w:r w:rsidRPr="00577C42">
        <w:rPr>
          <w:color w:val="auto"/>
        </w:rPr>
        <w:t xml:space="preserve"> introduced environmental considerations because of explicit environmental concerns, and more recently</w:t>
      </w:r>
      <w:r w:rsidR="00C426CA">
        <w:rPr>
          <w:color w:val="auto"/>
        </w:rPr>
        <w:t>,</w:t>
      </w:r>
      <w:r w:rsidRPr="00577C42">
        <w:rPr>
          <w:color w:val="auto"/>
        </w:rPr>
        <w:t xml:space="preserve"> the growing awareness of climate change has intensified efforts to integrate environment and energy policies. The policy integration </w:t>
      </w:r>
      <w:r w:rsidR="00C426CA">
        <w:rPr>
          <w:color w:val="auto"/>
        </w:rPr>
        <w:t xml:space="preserve">approach </w:t>
      </w:r>
      <w:r w:rsidRPr="00577C42">
        <w:rPr>
          <w:color w:val="auto"/>
        </w:rPr>
        <w:t xml:space="preserve">for energy has notably shifted from one of sustainable development in the late 1990s to one where the climate change agenda has all but captured the environmental dimension of the sector, leading to such apparent anomalies as </w:t>
      </w:r>
      <w:r w:rsidR="003823B4">
        <w:rPr>
          <w:color w:val="auto"/>
        </w:rPr>
        <w:t xml:space="preserve">the promotion of </w:t>
      </w:r>
      <w:r w:rsidR="00FA1C78" w:rsidRPr="00577C42">
        <w:rPr>
          <w:color w:val="auto"/>
        </w:rPr>
        <w:t>‘</w:t>
      </w:r>
      <w:r w:rsidRPr="00577C42">
        <w:rPr>
          <w:color w:val="auto"/>
        </w:rPr>
        <w:t>sustainable nuclear energy</w:t>
      </w:r>
      <w:r w:rsidR="00FA1C78" w:rsidRPr="00577C42">
        <w:rPr>
          <w:color w:val="auto"/>
        </w:rPr>
        <w:t>’</w:t>
      </w:r>
      <w:r w:rsidRPr="00577C42">
        <w:rPr>
          <w:color w:val="auto"/>
        </w:rPr>
        <w:t xml:space="preserve"> and a possible overemphasis on </w:t>
      </w:r>
      <w:r w:rsidR="003823B4">
        <w:rPr>
          <w:color w:val="auto"/>
        </w:rPr>
        <w:t xml:space="preserve">the need for </w:t>
      </w:r>
      <w:r w:rsidRPr="00577C42">
        <w:rPr>
          <w:color w:val="auto"/>
        </w:rPr>
        <w:t>biofuels. This lack of consistency across policy boundaries makes successful environmental policy integration more difficult and may lead to conflicting policy instruments where the domains intersect</w:t>
      </w:r>
      <w:r w:rsidR="00B16072" w:rsidRPr="00577C42">
        <w:rPr>
          <w:color w:val="auto"/>
        </w:rPr>
        <w:t>— for example</w:t>
      </w:r>
      <w:r w:rsidR="00FA1C78" w:rsidRPr="00C032D3">
        <w:rPr>
          <w:color w:val="auto"/>
        </w:rPr>
        <w:t xml:space="preserve">, </w:t>
      </w:r>
      <w:r w:rsidRPr="00577C42">
        <w:rPr>
          <w:color w:val="auto"/>
        </w:rPr>
        <w:t>biofuels in the case of energy and agriculture (</w:t>
      </w:r>
      <w:proofErr w:type="spellStart"/>
      <w:r w:rsidRPr="00577C42">
        <w:rPr>
          <w:color w:val="auto"/>
        </w:rPr>
        <w:t>Mullally</w:t>
      </w:r>
      <w:proofErr w:type="spellEnd"/>
      <w:r w:rsidRPr="00577C42">
        <w:rPr>
          <w:color w:val="auto"/>
        </w:rPr>
        <w:t xml:space="preserve"> and Dunphy </w:t>
      </w:r>
      <w:r w:rsidR="00FA1C78" w:rsidRPr="00C032D3">
        <w:rPr>
          <w:color w:val="auto"/>
        </w:rPr>
        <w:t>2015</w:t>
      </w:r>
      <w:r w:rsidRPr="00577C42">
        <w:rPr>
          <w:color w:val="auto"/>
        </w:rPr>
        <w:t>).</w:t>
      </w:r>
    </w:p>
    <w:p w14:paraId="3D1C9191" w14:textId="63CFBDCA" w:rsidR="00FA1C78" w:rsidRPr="00577C42" w:rsidRDefault="008816C2" w:rsidP="00086545">
      <w:pPr>
        <w:rPr>
          <w:color w:val="auto"/>
        </w:rPr>
      </w:pPr>
      <w:r w:rsidRPr="00577C42">
        <w:rPr>
          <w:color w:val="auto"/>
        </w:rPr>
        <w:t xml:space="preserve">Another notable example is the Nepal initiative to include climate change not only in environmental matters but as a major </w:t>
      </w:r>
      <w:r w:rsidR="00C426CA">
        <w:rPr>
          <w:color w:val="auto"/>
        </w:rPr>
        <w:t xml:space="preserve">consideration in </w:t>
      </w:r>
      <w:r w:rsidRPr="00577C42">
        <w:rPr>
          <w:color w:val="auto"/>
        </w:rPr>
        <w:t>all development planning. The Climate Public Expenditure and Institutional Review (</w:t>
      </w:r>
      <w:r w:rsidR="00E468C6" w:rsidRPr="00577C42">
        <w:rPr>
          <w:color w:val="auto"/>
        </w:rPr>
        <w:t xml:space="preserve">Government of Nepal </w:t>
      </w:r>
      <w:r w:rsidR="00E468C6" w:rsidRPr="00577C42">
        <w:rPr>
          <w:i/>
          <w:color w:val="auto"/>
        </w:rPr>
        <w:t>et al</w:t>
      </w:r>
      <w:r w:rsidR="00E468C6" w:rsidRPr="00577C42">
        <w:rPr>
          <w:color w:val="auto"/>
        </w:rPr>
        <w:t>.</w:t>
      </w:r>
      <w:r w:rsidRPr="00577C42">
        <w:rPr>
          <w:color w:val="auto"/>
        </w:rPr>
        <w:t xml:space="preserve"> </w:t>
      </w:r>
      <w:r w:rsidR="00FA1C78" w:rsidRPr="00C032D3">
        <w:rPr>
          <w:color w:val="auto"/>
        </w:rPr>
        <w:t>2011</w:t>
      </w:r>
      <w:r w:rsidRPr="00577C42">
        <w:rPr>
          <w:color w:val="auto"/>
        </w:rPr>
        <w:t xml:space="preserve">) reviews the financial management systems as </w:t>
      </w:r>
      <w:r w:rsidR="00FA1C78" w:rsidRPr="00C032D3">
        <w:rPr>
          <w:color w:val="auto"/>
        </w:rPr>
        <w:t>well</w:t>
      </w:r>
      <w:r w:rsidRPr="00577C42">
        <w:rPr>
          <w:color w:val="auto"/>
        </w:rPr>
        <w:t xml:space="preserve"> as the institutional arrangements and policy directives for allocating and spending climate change-related finance. This study examined the early emphasis being given to climate change pr</w:t>
      </w:r>
      <w:r w:rsidR="00FA1C78" w:rsidRPr="00577C42">
        <w:rPr>
          <w:color w:val="auto"/>
        </w:rPr>
        <w:t>ogra</w:t>
      </w:r>
      <w:r w:rsidRPr="00577C42">
        <w:rPr>
          <w:color w:val="auto"/>
        </w:rPr>
        <w:t xml:space="preserve">mming within Nepal and acknowledges the role played by communities in the entire process, </w:t>
      </w:r>
      <w:r w:rsidR="003823B4">
        <w:rPr>
          <w:color w:val="auto"/>
        </w:rPr>
        <w:t xml:space="preserve">including </w:t>
      </w:r>
      <w:r w:rsidRPr="00577C42">
        <w:rPr>
          <w:color w:val="auto"/>
        </w:rPr>
        <w:t>civil society,</w:t>
      </w:r>
      <w:r w:rsidRPr="00577C42">
        <w:rPr>
          <w:rFonts w:ascii="MS Mincho" w:eastAsia="MS Mincho" w:hAnsi="MS Mincho" w:cs="MS Mincho"/>
          <w:color w:val="auto"/>
        </w:rPr>
        <w:t xml:space="preserve"> </w:t>
      </w:r>
      <w:r w:rsidRPr="00577C42">
        <w:rPr>
          <w:color w:val="auto"/>
        </w:rPr>
        <w:t xml:space="preserve">the private sector and international support. The main findings include the lack of institutional </w:t>
      </w:r>
      <w:r w:rsidR="00FA1C78" w:rsidRPr="00577C42">
        <w:rPr>
          <w:color w:val="auto"/>
        </w:rPr>
        <w:t>collaborat</w:t>
      </w:r>
      <w:r w:rsidRPr="00577C42">
        <w:rPr>
          <w:color w:val="auto"/>
        </w:rPr>
        <w:t xml:space="preserve">ion and </w:t>
      </w:r>
      <w:r w:rsidR="00FA1C78" w:rsidRPr="00C032D3">
        <w:rPr>
          <w:color w:val="auto"/>
        </w:rPr>
        <w:t>capacity-building</w:t>
      </w:r>
      <w:r w:rsidRPr="00577C42">
        <w:rPr>
          <w:color w:val="auto"/>
        </w:rPr>
        <w:t xml:space="preserve"> to integrate policies across the different ministries. In addition, the fragmentation of budget implementation frustrates the coordination of expenditure</w:t>
      </w:r>
      <w:r w:rsidR="003823B4">
        <w:rPr>
          <w:color w:val="auto"/>
        </w:rPr>
        <w:t>s</w:t>
      </w:r>
      <w:r w:rsidRPr="00577C42">
        <w:rPr>
          <w:color w:val="auto"/>
        </w:rPr>
        <w:t xml:space="preserve"> to facilitate the </w:t>
      </w:r>
      <w:r w:rsidR="003823B4">
        <w:rPr>
          <w:color w:val="auto"/>
        </w:rPr>
        <w:t xml:space="preserve">promote the best </w:t>
      </w:r>
      <w:r w:rsidRPr="00577C42">
        <w:rPr>
          <w:color w:val="auto"/>
        </w:rPr>
        <w:t>outputs and outcomes, leading to an attempt to build climate change expenditures into the national chart of accounts.</w:t>
      </w:r>
    </w:p>
    <w:p w14:paraId="22DE853A" w14:textId="33B0E7EB" w:rsidR="00FA1C78" w:rsidRPr="00577C42" w:rsidRDefault="000F16F8" w:rsidP="00086545">
      <w:pPr>
        <w:rPr>
          <w:color w:val="auto"/>
        </w:rPr>
      </w:pPr>
      <w:r w:rsidRPr="00577C42">
        <w:rPr>
          <w:color w:val="auto"/>
        </w:rPr>
        <w:t xml:space="preserve">A final example of </w:t>
      </w:r>
      <w:r w:rsidR="00242981" w:rsidRPr="00577C42">
        <w:rPr>
          <w:color w:val="auto"/>
        </w:rPr>
        <w:t>EPI</w:t>
      </w:r>
      <w:r w:rsidRPr="00577C42">
        <w:rPr>
          <w:color w:val="auto"/>
        </w:rPr>
        <w:t xml:space="preserve"> </w:t>
      </w:r>
      <w:r w:rsidR="00BA3ED7" w:rsidRPr="00577C42">
        <w:rPr>
          <w:color w:val="auto"/>
        </w:rPr>
        <w:t>relates to</w:t>
      </w:r>
      <w:r w:rsidRPr="00577C42">
        <w:rPr>
          <w:color w:val="auto"/>
        </w:rPr>
        <w:t xml:space="preserve"> the global trade regime. T</w:t>
      </w:r>
      <w:r w:rsidR="008816C2" w:rsidRPr="00577C42">
        <w:rPr>
          <w:color w:val="auto"/>
        </w:rPr>
        <w:t xml:space="preserve">he EU attempted to explicitly integrate environmental concerns into its trade agreement strategy in </w:t>
      </w:r>
      <w:r w:rsidR="00FA1C78" w:rsidRPr="00C032D3">
        <w:rPr>
          <w:color w:val="auto"/>
        </w:rPr>
        <w:t>2010</w:t>
      </w:r>
      <w:r w:rsidR="00B16072" w:rsidRPr="00577C42">
        <w:rPr>
          <w:color w:val="auto"/>
        </w:rPr>
        <w:t>,</w:t>
      </w:r>
      <w:r w:rsidR="008816C2" w:rsidRPr="00577C42">
        <w:rPr>
          <w:color w:val="auto"/>
        </w:rPr>
        <w:t xml:space="preserve"> with the Communication on Trade, Growth and World Affairs, a part of the EU</w:t>
      </w:r>
      <w:r w:rsidR="00FA1C78" w:rsidRPr="00577C42">
        <w:rPr>
          <w:color w:val="auto"/>
        </w:rPr>
        <w:t>’</w:t>
      </w:r>
      <w:r w:rsidR="008816C2" w:rsidRPr="00577C42">
        <w:rPr>
          <w:color w:val="auto"/>
        </w:rPr>
        <w:t xml:space="preserve">s </w:t>
      </w:r>
      <w:r w:rsidR="00FA1C78" w:rsidRPr="00577C42">
        <w:rPr>
          <w:color w:val="auto"/>
        </w:rPr>
        <w:t>‘</w:t>
      </w:r>
      <w:r w:rsidR="008816C2" w:rsidRPr="00577C42">
        <w:rPr>
          <w:color w:val="auto"/>
        </w:rPr>
        <w:t xml:space="preserve">Europe </w:t>
      </w:r>
      <w:r w:rsidR="00FA1C78" w:rsidRPr="00C032D3">
        <w:rPr>
          <w:color w:val="auto"/>
        </w:rPr>
        <w:t>2020</w:t>
      </w:r>
      <w:r w:rsidR="00FA1C78" w:rsidRPr="00577C42">
        <w:rPr>
          <w:color w:val="auto"/>
        </w:rPr>
        <w:t>’</w:t>
      </w:r>
      <w:r w:rsidR="00B16072" w:rsidRPr="00577C42">
        <w:rPr>
          <w:color w:val="auto"/>
        </w:rPr>
        <w:t xml:space="preserve"> strategy</w:t>
      </w:r>
      <w:r w:rsidR="00946438">
        <w:rPr>
          <w:color w:val="auto"/>
        </w:rPr>
        <w:t xml:space="preserve">.  The EU also tried </w:t>
      </w:r>
      <w:r w:rsidR="008816C2" w:rsidRPr="00577C42">
        <w:rPr>
          <w:color w:val="auto"/>
        </w:rPr>
        <w:t xml:space="preserve">again in </w:t>
      </w:r>
      <w:r w:rsidR="00FA1C78" w:rsidRPr="00C032D3">
        <w:rPr>
          <w:color w:val="auto"/>
        </w:rPr>
        <w:t>2012</w:t>
      </w:r>
      <w:r w:rsidR="00B16072" w:rsidRPr="00577C42">
        <w:rPr>
          <w:color w:val="auto"/>
        </w:rPr>
        <w:t>,</w:t>
      </w:r>
      <w:r w:rsidR="008816C2" w:rsidRPr="00577C42">
        <w:rPr>
          <w:color w:val="auto"/>
        </w:rPr>
        <w:t xml:space="preserve"> with the Communication on Trade, Growth and Development</w:t>
      </w:r>
      <w:r w:rsidRPr="00577C42" w:rsidDel="000F16F8">
        <w:rPr>
          <w:color w:val="auto"/>
        </w:rPr>
        <w:t xml:space="preserve"> </w:t>
      </w:r>
      <w:r w:rsidRPr="00577C42">
        <w:rPr>
          <w:color w:val="auto"/>
        </w:rPr>
        <w:t>(M</w:t>
      </w:r>
      <w:r w:rsidR="008816C2" w:rsidRPr="00577C42">
        <w:rPr>
          <w:color w:val="auto"/>
        </w:rPr>
        <w:t>orin</w:t>
      </w:r>
      <w:r w:rsidR="00E468C6" w:rsidRPr="00577C42">
        <w:rPr>
          <w:color w:val="auto"/>
        </w:rPr>
        <w:t xml:space="preserve">, </w:t>
      </w:r>
      <w:proofErr w:type="spellStart"/>
      <w:r w:rsidR="00E468C6" w:rsidRPr="00577C42">
        <w:rPr>
          <w:color w:val="auto"/>
        </w:rPr>
        <w:t>Pauwelyn</w:t>
      </w:r>
      <w:proofErr w:type="spellEnd"/>
      <w:r w:rsidR="00E468C6" w:rsidRPr="00577C42">
        <w:rPr>
          <w:color w:val="auto"/>
        </w:rPr>
        <w:t xml:space="preserve"> and </w:t>
      </w:r>
      <w:proofErr w:type="spellStart"/>
      <w:r w:rsidR="00E468C6" w:rsidRPr="00577C42">
        <w:rPr>
          <w:color w:val="auto"/>
        </w:rPr>
        <w:t>Hollway</w:t>
      </w:r>
      <w:proofErr w:type="spellEnd"/>
      <w:r w:rsidR="00E468C6" w:rsidRPr="00577C42">
        <w:rPr>
          <w:color w:val="auto"/>
        </w:rPr>
        <w:t xml:space="preserve"> </w:t>
      </w:r>
      <w:r w:rsidR="00FA1C78" w:rsidRPr="00C032D3">
        <w:rPr>
          <w:color w:val="auto"/>
        </w:rPr>
        <w:t>2017</w:t>
      </w:r>
      <w:r w:rsidR="008816C2" w:rsidRPr="00577C42">
        <w:rPr>
          <w:color w:val="auto"/>
        </w:rPr>
        <w:t xml:space="preserve">). </w:t>
      </w:r>
      <w:r w:rsidR="002E34CA" w:rsidRPr="00577C42">
        <w:rPr>
          <w:color w:val="auto"/>
        </w:rPr>
        <w:t xml:space="preserve">As the controversies on the recent negotiations on trade agreements with Canada, </w:t>
      </w:r>
      <w:r w:rsidR="00B16072" w:rsidRPr="00577C42">
        <w:rPr>
          <w:color w:val="auto"/>
        </w:rPr>
        <w:t xml:space="preserve">the </w:t>
      </w:r>
      <w:r w:rsidR="00FA1C78" w:rsidRPr="00C032D3">
        <w:rPr>
          <w:color w:val="auto"/>
        </w:rPr>
        <w:t>United States of America</w:t>
      </w:r>
      <w:r w:rsidR="002E34CA" w:rsidRPr="00577C42">
        <w:rPr>
          <w:color w:val="auto"/>
        </w:rPr>
        <w:t xml:space="preserve"> and Japan demonstrate, the</w:t>
      </w:r>
      <w:r w:rsidR="00DB6905" w:rsidRPr="00577C42">
        <w:rPr>
          <w:color w:val="auto"/>
        </w:rPr>
        <w:t>ir</w:t>
      </w:r>
      <w:r w:rsidR="002E34CA" w:rsidRPr="00577C42">
        <w:rPr>
          <w:color w:val="auto"/>
        </w:rPr>
        <w:t xml:space="preserve"> effectiveness is under dispute.</w:t>
      </w:r>
    </w:p>
    <w:p w14:paraId="305D6764" w14:textId="24BDEDAD" w:rsidR="00FA1C78" w:rsidRPr="00577C42" w:rsidRDefault="008816C2" w:rsidP="00086545">
      <w:pPr>
        <w:rPr>
          <w:color w:val="auto"/>
        </w:rPr>
      </w:pPr>
      <w:r w:rsidRPr="00577C42">
        <w:rPr>
          <w:color w:val="auto"/>
        </w:rPr>
        <w:t xml:space="preserve">At the multilateral level, the EU is actively involved in advancing the mandate </w:t>
      </w:r>
      <w:r w:rsidR="00946438">
        <w:rPr>
          <w:color w:val="auto"/>
        </w:rPr>
        <w:t>of</w:t>
      </w:r>
      <w:r w:rsidRPr="00577C42">
        <w:rPr>
          <w:color w:val="auto"/>
        </w:rPr>
        <w:t xml:space="preserve"> paragraph 31 of the Doha Declaration on the liberalization of environmental goods and services in the regular and special sessions of the </w:t>
      </w:r>
      <w:r w:rsidR="00B16072" w:rsidRPr="00577C42">
        <w:rPr>
          <w:color w:val="auto"/>
        </w:rPr>
        <w:t>World Trade Organization (</w:t>
      </w:r>
      <w:r w:rsidRPr="00577C42">
        <w:rPr>
          <w:color w:val="auto"/>
        </w:rPr>
        <w:t>WTO</w:t>
      </w:r>
      <w:r w:rsidR="00B16072" w:rsidRPr="00577C42">
        <w:rPr>
          <w:color w:val="auto"/>
        </w:rPr>
        <w:t>)</w:t>
      </w:r>
      <w:r w:rsidRPr="00577C42">
        <w:rPr>
          <w:color w:val="auto"/>
        </w:rPr>
        <w:t xml:space="preserve"> Committee on Trade and Environment, albeit with</w:t>
      </w:r>
      <w:r w:rsidR="00242981" w:rsidRPr="00577C42">
        <w:rPr>
          <w:color w:val="auto"/>
        </w:rPr>
        <w:t xml:space="preserve"> little</w:t>
      </w:r>
      <w:r w:rsidRPr="00577C42">
        <w:rPr>
          <w:color w:val="auto"/>
        </w:rPr>
        <w:t xml:space="preserve"> </w:t>
      </w:r>
      <w:r w:rsidR="00FA1C78" w:rsidRPr="00577C42">
        <w:rPr>
          <w:color w:val="auto"/>
        </w:rPr>
        <w:t>progress</w:t>
      </w:r>
      <w:r w:rsidRPr="00577C42">
        <w:rPr>
          <w:color w:val="auto"/>
        </w:rPr>
        <w:t xml:space="preserve"> so far. In </w:t>
      </w:r>
      <w:r w:rsidR="00FA1C78" w:rsidRPr="00C032D3">
        <w:rPr>
          <w:color w:val="auto"/>
        </w:rPr>
        <w:t>2014</w:t>
      </w:r>
      <w:r w:rsidRPr="00577C42">
        <w:rPr>
          <w:color w:val="auto"/>
        </w:rPr>
        <w:t xml:space="preserve">, 14 </w:t>
      </w:r>
      <w:r w:rsidRPr="00577C42">
        <w:rPr>
          <w:color w:val="auto"/>
        </w:rPr>
        <w:lastRenderedPageBreak/>
        <w:t>WTO members (including the EU), representing more than 80</w:t>
      </w:r>
      <w:r w:rsidR="00FA1C78" w:rsidRPr="00C032D3">
        <w:rPr>
          <w:color w:val="auto"/>
        </w:rPr>
        <w:t> per cent</w:t>
      </w:r>
      <w:r w:rsidRPr="00577C42">
        <w:rPr>
          <w:color w:val="auto"/>
        </w:rPr>
        <w:t xml:space="preserve"> of world trade in environmental goods, launched the Green Goods Initiative which, as a first step, aims to eliminate tariffs on a broad list of green goods. The objective of the ongoing Environmental Goods Agreement (EGA) negotiations is to make high-quality environmental goods and technol</w:t>
      </w:r>
      <w:r w:rsidR="00FA1C78" w:rsidRPr="00577C42">
        <w:rPr>
          <w:color w:val="auto"/>
        </w:rPr>
        <w:t>ogies</w:t>
      </w:r>
      <w:r w:rsidRPr="00577C42">
        <w:rPr>
          <w:color w:val="auto"/>
        </w:rPr>
        <w:t xml:space="preserve"> available at cheaper cost.</w:t>
      </w:r>
    </w:p>
    <w:p w14:paraId="47655CAA" w14:textId="43513DBC" w:rsidR="00FA1C78" w:rsidRPr="00577C42" w:rsidRDefault="008816C2" w:rsidP="00086545">
      <w:pPr>
        <w:rPr>
          <w:color w:val="auto"/>
        </w:rPr>
      </w:pPr>
      <w:r w:rsidRPr="00577C42">
        <w:rPr>
          <w:color w:val="auto"/>
        </w:rPr>
        <w:t>The EU</w:t>
      </w:r>
      <w:r w:rsidR="00F1506A" w:rsidRPr="00577C42">
        <w:rPr>
          <w:color w:val="auto"/>
        </w:rPr>
        <w:t>, for example,</w:t>
      </w:r>
      <w:r w:rsidRPr="00577C42">
        <w:rPr>
          <w:color w:val="auto"/>
        </w:rPr>
        <w:t xml:space="preserve"> also incorporates environmental provisions into bilateral and regional preferential trade agreements in the form of Trade and Sustainable Development (TSD) chapters. These provisions </w:t>
      </w:r>
      <w:r w:rsidR="00FA1C78" w:rsidRPr="00C032D3">
        <w:rPr>
          <w:i/>
          <w:color w:val="auto"/>
        </w:rPr>
        <w:t>inter alia</w:t>
      </w:r>
      <w:r w:rsidRPr="00577C42">
        <w:rPr>
          <w:color w:val="auto"/>
        </w:rPr>
        <w:t xml:space="preserve"> commit EU trade partners to ratify and implement key </w:t>
      </w:r>
      <w:r w:rsidR="003B1C8C">
        <w:rPr>
          <w:color w:val="auto"/>
        </w:rPr>
        <w:t>multilateral environmental agreements (</w:t>
      </w:r>
      <w:r w:rsidRPr="00577C42">
        <w:rPr>
          <w:color w:val="auto"/>
        </w:rPr>
        <w:t>MEAs</w:t>
      </w:r>
      <w:r w:rsidR="003B1C8C">
        <w:rPr>
          <w:color w:val="auto"/>
        </w:rPr>
        <w:t>)</w:t>
      </w:r>
      <w:r w:rsidRPr="00577C42">
        <w:rPr>
          <w:color w:val="auto"/>
        </w:rPr>
        <w:t xml:space="preserve"> domestically and enforce them effectively. They are integrated into the agreement negotiation process through </w:t>
      </w:r>
      <w:r w:rsidR="004C5C0D" w:rsidRPr="00577C42">
        <w:rPr>
          <w:color w:val="auto"/>
        </w:rPr>
        <w:t>s</w:t>
      </w:r>
      <w:r w:rsidRPr="00577C42">
        <w:rPr>
          <w:color w:val="auto"/>
        </w:rPr>
        <w:t xml:space="preserve">ustainability </w:t>
      </w:r>
      <w:r w:rsidR="004C5C0D" w:rsidRPr="00577C42">
        <w:rPr>
          <w:color w:val="auto"/>
        </w:rPr>
        <w:t>i</w:t>
      </w:r>
      <w:r w:rsidRPr="00577C42">
        <w:rPr>
          <w:color w:val="auto"/>
        </w:rPr>
        <w:t xml:space="preserve">mpact </w:t>
      </w:r>
      <w:r w:rsidR="004C5C0D" w:rsidRPr="00577C42">
        <w:rPr>
          <w:color w:val="auto"/>
        </w:rPr>
        <w:t>a</w:t>
      </w:r>
      <w:r w:rsidRPr="00577C42">
        <w:rPr>
          <w:color w:val="auto"/>
        </w:rPr>
        <w:t>ssessments (SIAs). SIAs are in</w:t>
      </w:r>
      <w:r w:rsidR="00FA1C78" w:rsidRPr="00C032D3">
        <w:rPr>
          <w:color w:val="auto"/>
        </w:rPr>
        <w:t>dependent</w:t>
      </w:r>
      <w:r w:rsidRPr="00577C42">
        <w:rPr>
          <w:color w:val="auto"/>
        </w:rPr>
        <w:t xml:space="preserve"> assessments carried out by external consultants but rely on input from stakeholders. Both the EU and civil society then closely monitor partners</w:t>
      </w:r>
      <w:r w:rsidR="00FA1C78" w:rsidRPr="00577C42">
        <w:rPr>
          <w:color w:val="auto"/>
        </w:rPr>
        <w:t>’</w:t>
      </w:r>
      <w:r w:rsidRPr="00577C42">
        <w:rPr>
          <w:color w:val="auto"/>
        </w:rPr>
        <w:t xml:space="preserve"> implementation of TSD environmental provisions. Since such provisions may represent a costly commitment, partners may then demand that similar environmental provisions are included in their subsequent trade agreements with third parties (</w:t>
      </w:r>
      <w:proofErr w:type="spellStart"/>
      <w:r w:rsidRPr="00577C42">
        <w:rPr>
          <w:color w:val="auto"/>
        </w:rPr>
        <w:t>Milewicz</w:t>
      </w:r>
      <w:proofErr w:type="spellEnd"/>
      <w:r w:rsidRPr="00577C42">
        <w:rPr>
          <w:color w:val="auto"/>
        </w:rPr>
        <w:t xml:space="preserve"> </w:t>
      </w:r>
      <w:r w:rsidRPr="00577C42">
        <w:rPr>
          <w:i/>
          <w:color w:val="auto"/>
        </w:rPr>
        <w:t>et al.</w:t>
      </w:r>
      <w:r w:rsidRPr="00577C42">
        <w:rPr>
          <w:color w:val="auto"/>
        </w:rPr>
        <w:t xml:space="preserve"> </w:t>
      </w:r>
      <w:r w:rsidR="00FA1C78" w:rsidRPr="00C032D3">
        <w:rPr>
          <w:color w:val="auto"/>
        </w:rPr>
        <w:t>2016</w:t>
      </w:r>
      <w:r w:rsidRPr="00577C42">
        <w:rPr>
          <w:color w:val="auto"/>
        </w:rPr>
        <w:t xml:space="preserve">). The EU has unilaterally established the </w:t>
      </w:r>
      <w:r w:rsidRPr="00C032D3">
        <w:rPr>
          <w:color w:val="auto"/>
        </w:rPr>
        <w:t>General</w:t>
      </w:r>
      <w:r w:rsidR="00FA1C78" w:rsidRPr="00C032D3">
        <w:rPr>
          <w:color w:val="auto"/>
        </w:rPr>
        <w:t>ize</w:t>
      </w:r>
      <w:r w:rsidRPr="00C032D3">
        <w:rPr>
          <w:color w:val="auto"/>
        </w:rPr>
        <w:t>d</w:t>
      </w:r>
      <w:r w:rsidRPr="00577C42">
        <w:rPr>
          <w:color w:val="auto"/>
        </w:rPr>
        <w:t xml:space="preserve"> Scheme of Preferences (GSP) to allow developing</w:t>
      </w:r>
      <w:r w:rsidR="004C5C0D" w:rsidRPr="00577C42">
        <w:rPr>
          <w:color w:val="auto"/>
        </w:rPr>
        <w:t>-</w:t>
      </w:r>
      <w:r w:rsidRPr="00577C42">
        <w:rPr>
          <w:color w:val="auto"/>
        </w:rPr>
        <w:t>country exporters to pay lower duties on exports to the EU. The GSP+ arrangement is intended to build the capacity of vulnerable countries to integrate environmental concerns into their sustainable development plans by offering them additional trade preferences.</w:t>
      </w:r>
    </w:p>
    <w:p w14:paraId="35E68CFB" w14:textId="657BBCBC" w:rsidR="00FA1C78" w:rsidRPr="00577C42" w:rsidRDefault="008816C2" w:rsidP="00086545">
      <w:pPr>
        <w:rPr>
          <w:color w:val="auto"/>
        </w:rPr>
      </w:pPr>
      <w:r w:rsidRPr="00577C42">
        <w:rPr>
          <w:color w:val="auto"/>
        </w:rPr>
        <w:t>This relationship between trade and the environment is not a one-way street, however</w:t>
      </w:r>
      <w:r w:rsidR="000878AB" w:rsidRPr="00577C42">
        <w:rPr>
          <w:color w:val="auto"/>
        </w:rPr>
        <w:t>, as environmental policies may impede some undesirable forms of trade</w:t>
      </w:r>
      <w:r w:rsidR="004C5C0D" w:rsidRPr="00577C42">
        <w:rPr>
          <w:color w:val="auto"/>
        </w:rPr>
        <w:t>,</w:t>
      </w:r>
      <w:r w:rsidR="000878AB" w:rsidRPr="00577C42">
        <w:rPr>
          <w:color w:val="auto"/>
        </w:rPr>
        <w:t xml:space="preserve"> and trade policies may water down potentially stronger international environmental policies. </w:t>
      </w:r>
      <w:r w:rsidRPr="00577C42">
        <w:rPr>
          <w:color w:val="auto"/>
        </w:rPr>
        <w:t xml:space="preserve">Trade policy measures appear in a range of environmental instruments, such as the restrictions on trade </w:t>
      </w:r>
      <w:r w:rsidR="004C5C0D" w:rsidRPr="00577C42">
        <w:rPr>
          <w:color w:val="auto"/>
        </w:rPr>
        <w:t xml:space="preserve">in </w:t>
      </w:r>
      <w:r w:rsidRPr="00577C42">
        <w:rPr>
          <w:color w:val="auto"/>
        </w:rPr>
        <w:t xml:space="preserve">endangered animal and plant species, illegal timber, illegal, unreported and unregulated (IUU) fishing, </w:t>
      </w:r>
      <w:r w:rsidR="00FA1C78" w:rsidRPr="00577C42">
        <w:rPr>
          <w:color w:val="auto"/>
        </w:rPr>
        <w:t>chem</w:t>
      </w:r>
      <w:r w:rsidR="00FA1C78" w:rsidRPr="00C032D3">
        <w:rPr>
          <w:color w:val="auto"/>
        </w:rPr>
        <w:t>i</w:t>
      </w:r>
      <w:r w:rsidRPr="00577C42">
        <w:rPr>
          <w:color w:val="auto"/>
        </w:rPr>
        <w:t>cals of regional or global concern, and ozone</w:t>
      </w:r>
      <w:r w:rsidR="004C5C0D" w:rsidRPr="00577C42">
        <w:rPr>
          <w:color w:val="auto"/>
        </w:rPr>
        <w:t>-</w:t>
      </w:r>
      <w:r w:rsidRPr="00577C42">
        <w:rPr>
          <w:color w:val="auto"/>
        </w:rPr>
        <w:t>depleting substances.</w:t>
      </w:r>
      <w:r w:rsidR="000878AB" w:rsidRPr="00577C42">
        <w:rPr>
          <w:color w:val="auto"/>
        </w:rPr>
        <w:t xml:space="preserve"> Generally, the influence of environmental </w:t>
      </w:r>
      <w:r w:rsidR="004C5C0D" w:rsidRPr="00577C42">
        <w:rPr>
          <w:color w:val="auto"/>
        </w:rPr>
        <w:t>non-governmental organizations (</w:t>
      </w:r>
      <w:r w:rsidR="000878AB" w:rsidRPr="00577C42">
        <w:rPr>
          <w:color w:val="auto"/>
        </w:rPr>
        <w:t>NGOs</w:t>
      </w:r>
      <w:r w:rsidR="004C5C0D" w:rsidRPr="00577C42">
        <w:rPr>
          <w:color w:val="auto"/>
        </w:rPr>
        <w:t>)</w:t>
      </w:r>
      <w:r w:rsidR="000878AB" w:rsidRPr="00577C42">
        <w:rPr>
          <w:color w:val="auto"/>
        </w:rPr>
        <w:t xml:space="preserve"> and their concerns in trade policies remains limited</w:t>
      </w:r>
      <w:r w:rsidR="001141D3" w:rsidRPr="00577C42">
        <w:rPr>
          <w:color w:val="auto"/>
        </w:rPr>
        <w:t xml:space="preserve"> (</w:t>
      </w:r>
      <w:proofErr w:type="spellStart"/>
      <w:r w:rsidR="001141D3" w:rsidRPr="00577C42">
        <w:rPr>
          <w:color w:val="auto"/>
        </w:rPr>
        <w:t>Dür</w:t>
      </w:r>
      <w:proofErr w:type="spellEnd"/>
      <w:r w:rsidR="00F25B9C" w:rsidRPr="00577C42">
        <w:rPr>
          <w:color w:val="auto"/>
        </w:rPr>
        <w:t xml:space="preserve"> and</w:t>
      </w:r>
      <w:r w:rsidR="001141D3" w:rsidRPr="00577C42">
        <w:rPr>
          <w:color w:val="auto"/>
        </w:rPr>
        <w:t xml:space="preserve"> De </w:t>
      </w:r>
      <w:proofErr w:type="spellStart"/>
      <w:r w:rsidR="001141D3" w:rsidRPr="00577C42">
        <w:rPr>
          <w:color w:val="auto"/>
        </w:rPr>
        <w:t>Bièvre</w:t>
      </w:r>
      <w:proofErr w:type="spellEnd"/>
      <w:r w:rsidR="00F25B9C" w:rsidRPr="00577C42">
        <w:rPr>
          <w:color w:val="auto"/>
        </w:rPr>
        <w:t xml:space="preserve"> </w:t>
      </w:r>
      <w:r w:rsidR="00FA1C78" w:rsidRPr="00C032D3">
        <w:rPr>
          <w:color w:val="auto"/>
        </w:rPr>
        <w:t>2007</w:t>
      </w:r>
      <w:r w:rsidR="00F25B9C" w:rsidRPr="00577C42">
        <w:rPr>
          <w:color w:val="auto"/>
        </w:rPr>
        <w:t>)</w:t>
      </w:r>
      <w:r w:rsidR="000878AB" w:rsidRPr="00577C42">
        <w:rPr>
          <w:color w:val="auto"/>
        </w:rPr>
        <w:t>.</w:t>
      </w:r>
    </w:p>
    <w:p w14:paraId="5CDAA993" w14:textId="531E7DF4" w:rsidR="00FA1C78" w:rsidRPr="00577C42" w:rsidRDefault="008816C2" w:rsidP="00086545">
      <w:pPr>
        <w:rPr>
          <w:color w:val="auto"/>
        </w:rPr>
      </w:pPr>
      <w:r w:rsidRPr="00577C42">
        <w:rPr>
          <w:color w:val="auto"/>
        </w:rPr>
        <w:t xml:space="preserve">In summary, EPI and associated tools have been used by governments trying to include environmental concerns in other sectoral policies of interest. </w:t>
      </w:r>
      <w:r w:rsidR="00F60E9A" w:rsidRPr="00577C42">
        <w:rPr>
          <w:color w:val="auto"/>
        </w:rPr>
        <w:t>Although there is a lack of evaluation</w:t>
      </w:r>
      <w:r w:rsidR="00946438">
        <w:rPr>
          <w:color w:val="auto"/>
        </w:rPr>
        <w:t xml:space="preserve"> of</w:t>
      </w:r>
      <w:r w:rsidR="00F60E9A" w:rsidRPr="00577C42">
        <w:rPr>
          <w:color w:val="auto"/>
        </w:rPr>
        <w:t xml:space="preserve"> actual outcomes and impacts of EPI</w:t>
      </w:r>
      <w:r w:rsidR="00946438">
        <w:rPr>
          <w:color w:val="auto"/>
        </w:rPr>
        <w:t xml:space="preserve"> and</w:t>
      </w:r>
      <w:r w:rsidR="002A105C">
        <w:rPr>
          <w:color w:val="auto"/>
        </w:rPr>
        <w:t xml:space="preserve"> </w:t>
      </w:r>
      <w:r w:rsidRPr="00577C42">
        <w:rPr>
          <w:color w:val="auto"/>
        </w:rPr>
        <w:t xml:space="preserve">major challenges persist: institutional fragmentation, lack of </w:t>
      </w:r>
      <w:r w:rsidR="00FA1C78" w:rsidRPr="00C032D3">
        <w:rPr>
          <w:color w:val="auto"/>
        </w:rPr>
        <w:t>capacity-building</w:t>
      </w:r>
      <w:r w:rsidRPr="00577C42">
        <w:rPr>
          <w:color w:val="auto"/>
        </w:rPr>
        <w:t>, the difficulty of stakeholder participation, and even integration with other environmental issues beyond climate change.</w:t>
      </w:r>
    </w:p>
    <w:p w14:paraId="444B2883" w14:textId="570453C9" w:rsidR="00FA1C78" w:rsidRPr="00577C42" w:rsidRDefault="008816C2" w:rsidP="00B04299">
      <w:pPr>
        <w:pStyle w:val="Heading3"/>
      </w:pPr>
      <w:bookmarkStart w:id="73" w:name="_1goqlqr4ogsy" w:colFirst="0" w:colLast="0"/>
      <w:bookmarkStart w:id="74" w:name="_Toc511747978"/>
      <w:bookmarkEnd w:id="73"/>
      <w:r w:rsidRPr="00577C42">
        <w:t>Co-</w:t>
      </w:r>
      <w:r w:rsidR="004C5C0D" w:rsidRPr="00577C42">
        <w:t>b</w:t>
      </w:r>
      <w:r w:rsidRPr="00577C42">
        <w:t xml:space="preserve">enefits: Findings on </w:t>
      </w:r>
      <w:r w:rsidR="004C5C0D" w:rsidRPr="00577C42">
        <w:t xml:space="preserve">the </w:t>
      </w:r>
      <w:r w:rsidRPr="00577C42">
        <w:t>impacts of environmental policies on economic growth, innovation and employment</w:t>
      </w:r>
      <w:bookmarkEnd w:id="74"/>
    </w:p>
    <w:p w14:paraId="04B84B51" w14:textId="1775221A" w:rsidR="00FA1C78" w:rsidRPr="00577C42" w:rsidRDefault="008816C2" w:rsidP="00086545">
      <w:pPr>
        <w:rPr>
          <w:color w:val="auto"/>
        </w:rPr>
      </w:pPr>
      <w:r w:rsidRPr="00577C42">
        <w:rPr>
          <w:color w:val="auto"/>
        </w:rPr>
        <w:t xml:space="preserve">An important argument in favour of </w:t>
      </w:r>
      <w:r w:rsidR="002D30FD" w:rsidRPr="00577C42">
        <w:rPr>
          <w:color w:val="auto"/>
        </w:rPr>
        <w:t>EPI</w:t>
      </w:r>
      <w:r w:rsidRPr="00577C42">
        <w:rPr>
          <w:color w:val="auto"/>
        </w:rPr>
        <w:t xml:space="preserve"> is the economic and social co-benefits that can be expected or demonstrated as a result of implementing environmental policies. These may include additional economic growth from innovation, savings from more </w:t>
      </w:r>
      <w:r w:rsidRPr="00577C42">
        <w:rPr>
          <w:color w:val="auto"/>
        </w:rPr>
        <w:lastRenderedPageBreak/>
        <w:t xml:space="preserve">efficient use of natural resources, and avoiding the costs of environmental damage. </w:t>
      </w:r>
      <w:r w:rsidR="00FE7F8C" w:rsidRPr="00577C42">
        <w:rPr>
          <w:color w:val="auto"/>
        </w:rPr>
        <w:t xml:space="preserve">However, the concept of co-benefits is contested because it mostly ignores political and </w:t>
      </w:r>
      <w:r w:rsidR="00FA1C78" w:rsidRPr="00577C42">
        <w:rPr>
          <w:color w:val="auto"/>
        </w:rPr>
        <w:t>‘</w:t>
      </w:r>
      <w:r w:rsidR="004C5C0D" w:rsidRPr="00577C42">
        <w:rPr>
          <w:color w:val="auto"/>
        </w:rPr>
        <w:t>N</w:t>
      </w:r>
      <w:r w:rsidR="00FE7F8C" w:rsidRPr="00577C42">
        <w:rPr>
          <w:color w:val="auto"/>
        </w:rPr>
        <w:t>orth–</w:t>
      </w:r>
      <w:r w:rsidR="004C5C0D" w:rsidRPr="00577C42">
        <w:rPr>
          <w:color w:val="auto"/>
        </w:rPr>
        <w:t>S</w:t>
      </w:r>
      <w:r w:rsidR="00FE7F8C" w:rsidRPr="00577C42">
        <w:rPr>
          <w:color w:val="auto"/>
        </w:rPr>
        <w:t>outh</w:t>
      </w:r>
      <w:r w:rsidR="00FA1C78" w:rsidRPr="00577C42">
        <w:rPr>
          <w:color w:val="auto"/>
        </w:rPr>
        <w:t>’</w:t>
      </w:r>
      <w:r w:rsidR="00FE7F8C" w:rsidRPr="00577C42">
        <w:rPr>
          <w:color w:val="auto"/>
        </w:rPr>
        <w:t xml:space="preserve"> aspects (Mayrhofer and Gupta </w:t>
      </w:r>
      <w:r w:rsidR="00FA1C78" w:rsidRPr="00C032D3">
        <w:rPr>
          <w:color w:val="auto"/>
        </w:rPr>
        <w:t>2016</w:t>
      </w:r>
      <w:r w:rsidR="00FE7F8C" w:rsidRPr="00577C42">
        <w:rPr>
          <w:color w:val="auto"/>
        </w:rPr>
        <w:t>).</w:t>
      </w:r>
    </w:p>
    <w:p w14:paraId="7C71500A" w14:textId="2B34E9C2" w:rsidR="00FA1C78" w:rsidRPr="00577C42" w:rsidRDefault="008816C2" w:rsidP="00086545">
      <w:pPr>
        <w:rPr>
          <w:color w:val="auto"/>
        </w:rPr>
      </w:pPr>
      <w:r w:rsidRPr="00577C42">
        <w:rPr>
          <w:color w:val="auto"/>
        </w:rPr>
        <w:t>More specifically, policies that integrate environmental aspects in key economic sectors benefit from synergies and promote long-term growth by mitigating scarcities. In this regard, it is estimated that a green investment of 2</w:t>
      </w:r>
      <w:r w:rsidR="00FA1C78" w:rsidRPr="00C032D3">
        <w:rPr>
          <w:color w:val="auto"/>
        </w:rPr>
        <w:t> per cent</w:t>
      </w:r>
      <w:r w:rsidRPr="00577C42">
        <w:rPr>
          <w:color w:val="auto"/>
        </w:rPr>
        <w:t xml:space="preserve"> of global </w:t>
      </w:r>
      <w:r w:rsidR="004C5C0D" w:rsidRPr="00577C42">
        <w:rPr>
          <w:color w:val="auto"/>
        </w:rPr>
        <w:t>gross domestic product (</w:t>
      </w:r>
      <w:r w:rsidRPr="00577C42">
        <w:rPr>
          <w:color w:val="auto"/>
        </w:rPr>
        <w:t>GDP</w:t>
      </w:r>
      <w:r w:rsidR="004C5C0D" w:rsidRPr="00577C42">
        <w:rPr>
          <w:color w:val="auto"/>
        </w:rPr>
        <w:t>)</w:t>
      </w:r>
      <w:r w:rsidRPr="00577C42">
        <w:rPr>
          <w:color w:val="auto"/>
        </w:rPr>
        <w:t xml:space="preserve"> would deliver long-term growth over </w:t>
      </w:r>
      <w:r w:rsidR="00FA1C78" w:rsidRPr="00C032D3">
        <w:rPr>
          <w:color w:val="auto"/>
        </w:rPr>
        <w:t>2011</w:t>
      </w:r>
      <w:r w:rsidR="004C5C0D" w:rsidRPr="00577C42">
        <w:rPr>
          <w:color w:val="auto"/>
        </w:rPr>
        <w:t>–</w:t>
      </w:r>
      <w:r w:rsidR="00FA1C78" w:rsidRPr="00C032D3">
        <w:rPr>
          <w:color w:val="auto"/>
        </w:rPr>
        <w:t>2050</w:t>
      </w:r>
      <w:r w:rsidRPr="00577C42">
        <w:rPr>
          <w:color w:val="auto"/>
        </w:rPr>
        <w:t xml:space="preserve"> that could be at least as high as an optimistic business-as-usual scenario, while </w:t>
      </w:r>
      <w:r w:rsidRPr="00C032D3">
        <w:rPr>
          <w:color w:val="auto"/>
        </w:rPr>
        <w:t>minim</w:t>
      </w:r>
      <w:r w:rsidR="00FA1C78" w:rsidRPr="00C032D3">
        <w:rPr>
          <w:color w:val="auto"/>
        </w:rPr>
        <w:t>izi</w:t>
      </w:r>
      <w:r w:rsidRPr="00C032D3">
        <w:rPr>
          <w:color w:val="auto"/>
        </w:rPr>
        <w:t>ng</w:t>
      </w:r>
      <w:r w:rsidRPr="00577C42">
        <w:rPr>
          <w:color w:val="auto"/>
        </w:rPr>
        <w:t xml:space="preserve"> the adverse impacts of climate change, water scarcity and the loss of ecosystem services (</w:t>
      </w:r>
      <w:r w:rsidR="00E468C6" w:rsidRPr="00577C42">
        <w:rPr>
          <w:color w:val="auto"/>
        </w:rPr>
        <w:t>United Nations Environment Pr</w:t>
      </w:r>
      <w:r w:rsidR="00FA1C78" w:rsidRPr="00577C42">
        <w:rPr>
          <w:color w:val="auto"/>
        </w:rPr>
        <w:t>ogra</w:t>
      </w:r>
      <w:r w:rsidR="00E468C6" w:rsidRPr="00577C42">
        <w:rPr>
          <w:color w:val="auto"/>
        </w:rPr>
        <w:t>mme [</w:t>
      </w:r>
      <w:r w:rsidRPr="00577C42">
        <w:rPr>
          <w:color w:val="auto"/>
        </w:rPr>
        <w:t>UNEP</w:t>
      </w:r>
      <w:r w:rsidR="00E468C6" w:rsidRPr="00577C42">
        <w:rPr>
          <w:color w:val="auto"/>
        </w:rPr>
        <w:t>]</w:t>
      </w:r>
      <w:r w:rsidRPr="00577C42">
        <w:rPr>
          <w:color w:val="auto"/>
        </w:rPr>
        <w:t xml:space="preserve"> </w:t>
      </w:r>
      <w:r w:rsidR="00FA1C78" w:rsidRPr="00C032D3">
        <w:rPr>
          <w:color w:val="auto"/>
        </w:rPr>
        <w:t>2011</w:t>
      </w:r>
      <w:r w:rsidRPr="00577C42">
        <w:rPr>
          <w:color w:val="auto"/>
        </w:rPr>
        <w:t>).</w:t>
      </w:r>
    </w:p>
    <w:p w14:paraId="3A07D543" w14:textId="27F890F1" w:rsidR="00FA1C78" w:rsidRPr="00577C42" w:rsidRDefault="008816C2" w:rsidP="00086545">
      <w:pPr>
        <w:rPr>
          <w:color w:val="auto"/>
        </w:rPr>
      </w:pPr>
      <w:r w:rsidRPr="00577C42">
        <w:rPr>
          <w:color w:val="auto"/>
        </w:rPr>
        <w:t xml:space="preserve">Well-crafted policies that integrate environmental concerns can in many cases promote innovation </w:t>
      </w:r>
      <w:r w:rsidR="00130283" w:rsidRPr="00577C42">
        <w:rPr>
          <w:color w:val="auto"/>
        </w:rPr>
        <w:t>(especially technol</w:t>
      </w:r>
      <w:r w:rsidR="00FA1C78" w:rsidRPr="00577C42">
        <w:rPr>
          <w:color w:val="auto"/>
        </w:rPr>
        <w:t>ogical</w:t>
      </w:r>
      <w:r w:rsidR="00130283" w:rsidRPr="00577C42">
        <w:rPr>
          <w:color w:val="auto"/>
        </w:rPr>
        <w:t xml:space="preserve"> innovation, but also policy and institutional innovation) </w:t>
      </w:r>
      <w:r w:rsidRPr="00577C42">
        <w:rPr>
          <w:color w:val="auto"/>
        </w:rPr>
        <w:t>(</w:t>
      </w:r>
      <w:proofErr w:type="spellStart"/>
      <w:r w:rsidRPr="00577C42">
        <w:rPr>
          <w:color w:val="auto"/>
        </w:rPr>
        <w:t>Ambec</w:t>
      </w:r>
      <w:proofErr w:type="spellEnd"/>
      <w:r w:rsidRPr="00577C42">
        <w:rPr>
          <w:color w:val="auto"/>
        </w:rPr>
        <w:t xml:space="preserve"> and </w:t>
      </w:r>
      <w:proofErr w:type="spellStart"/>
      <w:r w:rsidRPr="00577C42">
        <w:rPr>
          <w:color w:val="auto"/>
        </w:rPr>
        <w:t>Barla</w:t>
      </w:r>
      <w:proofErr w:type="spellEnd"/>
      <w:r w:rsidRPr="00577C42">
        <w:rPr>
          <w:color w:val="auto"/>
        </w:rPr>
        <w:t xml:space="preserve"> </w:t>
      </w:r>
      <w:r w:rsidR="00FA1C78" w:rsidRPr="00C032D3">
        <w:rPr>
          <w:color w:val="auto"/>
        </w:rPr>
        <w:t>2002</w:t>
      </w:r>
      <w:r w:rsidRPr="00577C42">
        <w:rPr>
          <w:color w:val="auto"/>
        </w:rPr>
        <w:t xml:space="preserve">; </w:t>
      </w:r>
      <w:proofErr w:type="spellStart"/>
      <w:r w:rsidRPr="00577C42">
        <w:rPr>
          <w:color w:val="auto"/>
        </w:rPr>
        <w:t>Ambec</w:t>
      </w:r>
      <w:proofErr w:type="spellEnd"/>
      <w:r w:rsidRPr="00577C42">
        <w:rPr>
          <w:color w:val="auto"/>
        </w:rPr>
        <w:t xml:space="preserve"> </w:t>
      </w:r>
      <w:r w:rsidRPr="00577C42">
        <w:rPr>
          <w:i/>
          <w:color w:val="auto"/>
        </w:rPr>
        <w:t>et al.</w:t>
      </w:r>
      <w:r w:rsidRPr="00577C42">
        <w:rPr>
          <w:color w:val="auto"/>
        </w:rPr>
        <w:t xml:space="preserve"> </w:t>
      </w:r>
      <w:r w:rsidR="00FA1C78" w:rsidRPr="00C032D3">
        <w:rPr>
          <w:color w:val="auto"/>
        </w:rPr>
        <w:t>2013</w:t>
      </w:r>
      <w:r w:rsidRPr="00577C42">
        <w:rPr>
          <w:color w:val="auto"/>
        </w:rPr>
        <w:t xml:space="preserve">). This is based on the following </w:t>
      </w:r>
      <w:r w:rsidR="00FA1C78" w:rsidRPr="00577C42">
        <w:rPr>
          <w:color w:val="auto"/>
        </w:rPr>
        <w:t>premise</w:t>
      </w:r>
      <w:r w:rsidRPr="00577C42">
        <w:rPr>
          <w:color w:val="auto"/>
        </w:rPr>
        <w:t>s (Porter and van der Li</w:t>
      </w:r>
      <w:r w:rsidR="00D10374" w:rsidRPr="00577C42">
        <w:rPr>
          <w:color w:val="auto"/>
        </w:rPr>
        <w:t>n</w:t>
      </w:r>
      <w:r w:rsidRPr="00577C42">
        <w:rPr>
          <w:color w:val="auto"/>
        </w:rPr>
        <w:t xml:space="preserve">de </w:t>
      </w:r>
      <w:r w:rsidR="00FA1C78" w:rsidRPr="00C032D3">
        <w:rPr>
          <w:color w:val="auto"/>
        </w:rPr>
        <w:t>1995</w:t>
      </w:r>
      <w:r w:rsidRPr="00577C42">
        <w:rPr>
          <w:color w:val="auto"/>
        </w:rPr>
        <w:t>, p</w:t>
      </w:r>
      <w:r w:rsidR="004C5C0D" w:rsidRPr="00577C42">
        <w:rPr>
          <w:color w:val="auto"/>
        </w:rPr>
        <w:t>p.</w:t>
      </w:r>
      <w:r w:rsidRPr="00577C42">
        <w:rPr>
          <w:color w:val="auto"/>
        </w:rPr>
        <w:t xml:space="preserve"> 99</w:t>
      </w:r>
      <w:r w:rsidR="004C5C0D" w:rsidRPr="00577C42">
        <w:rPr>
          <w:color w:val="auto"/>
        </w:rPr>
        <w:t>–</w:t>
      </w:r>
      <w:r w:rsidRPr="00577C42">
        <w:rPr>
          <w:color w:val="auto"/>
        </w:rPr>
        <w:t>100</w:t>
      </w:r>
      <w:r w:rsidR="004C5C0D" w:rsidRPr="00577C42">
        <w:rPr>
          <w:color w:val="auto"/>
        </w:rPr>
        <w:t>,</w:t>
      </w:r>
      <w:r w:rsidRPr="00577C42">
        <w:rPr>
          <w:color w:val="auto"/>
        </w:rPr>
        <w:t xml:space="preserve"> cited in </w:t>
      </w:r>
      <w:proofErr w:type="spellStart"/>
      <w:r w:rsidRPr="00577C42">
        <w:rPr>
          <w:color w:val="auto"/>
        </w:rPr>
        <w:t>Ambec</w:t>
      </w:r>
      <w:proofErr w:type="spellEnd"/>
      <w:r w:rsidRPr="00577C42">
        <w:rPr>
          <w:color w:val="auto"/>
        </w:rPr>
        <w:t xml:space="preserve"> </w:t>
      </w:r>
      <w:r w:rsidRPr="00577C42">
        <w:rPr>
          <w:i/>
          <w:color w:val="auto"/>
        </w:rPr>
        <w:t>et al.</w:t>
      </w:r>
      <w:r w:rsidRPr="00577C42">
        <w:rPr>
          <w:color w:val="auto"/>
        </w:rPr>
        <w:t xml:space="preserve"> </w:t>
      </w:r>
      <w:r w:rsidR="00FA1C78" w:rsidRPr="00C032D3">
        <w:rPr>
          <w:color w:val="auto"/>
        </w:rPr>
        <w:t>2013</w:t>
      </w:r>
      <w:r w:rsidRPr="00577C42">
        <w:rPr>
          <w:color w:val="auto"/>
        </w:rPr>
        <w:t>):</w:t>
      </w:r>
    </w:p>
    <w:p w14:paraId="2110BE2A" w14:textId="77777777" w:rsidR="00FA1C78" w:rsidRPr="00577C42" w:rsidRDefault="008816C2" w:rsidP="00086545">
      <w:pPr>
        <w:pStyle w:val="ListParagraph"/>
        <w:numPr>
          <w:ilvl w:val="0"/>
          <w:numId w:val="1"/>
        </w:numPr>
        <w:rPr>
          <w:color w:val="auto"/>
        </w:rPr>
      </w:pPr>
      <w:r w:rsidRPr="00577C42">
        <w:rPr>
          <w:color w:val="auto"/>
        </w:rPr>
        <w:t>“…[R]</w:t>
      </w:r>
      <w:proofErr w:type="spellStart"/>
      <w:r w:rsidRPr="00577C42">
        <w:rPr>
          <w:color w:val="auto"/>
        </w:rPr>
        <w:t>egulation</w:t>
      </w:r>
      <w:proofErr w:type="spellEnd"/>
      <w:r w:rsidRPr="00577C42">
        <w:rPr>
          <w:color w:val="auto"/>
        </w:rPr>
        <w:t xml:space="preserve"> signals companies about likely resource inefficiencies and potential technological improvements.”</w:t>
      </w:r>
    </w:p>
    <w:p w14:paraId="5DFF0119" w14:textId="77777777" w:rsidR="00FA1C78" w:rsidRPr="00577C42" w:rsidRDefault="008816C2" w:rsidP="00086545">
      <w:pPr>
        <w:pStyle w:val="ListParagraph"/>
        <w:numPr>
          <w:ilvl w:val="0"/>
          <w:numId w:val="1"/>
        </w:numPr>
        <w:rPr>
          <w:color w:val="auto"/>
        </w:rPr>
      </w:pPr>
      <w:r w:rsidRPr="00577C42">
        <w:rPr>
          <w:color w:val="auto"/>
        </w:rPr>
        <w:t>“… [R]</w:t>
      </w:r>
      <w:proofErr w:type="spellStart"/>
      <w:r w:rsidRPr="00577C42">
        <w:rPr>
          <w:color w:val="auto"/>
        </w:rPr>
        <w:t>egulation</w:t>
      </w:r>
      <w:proofErr w:type="spellEnd"/>
      <w:r w:rsidRPr="00577C42">
        <w:rPr>
          <w:color w:val="auto"/>
        </w:rPr>
        <w:t xml:space="preserve"> focused on information gathering can achieve major benefits by raising corporate awareness.”</w:t>
      </w:r>
    </w:p>
    <w:p w14:paraId="26C93D73" w14:textId="77777777" w:rsidR="00FA1C78" w:rsidRPr="00577C42" w:rsidRDefault="008816C2" w:rsidP="00086545">
      <w:pPr>
        <w:pStyle w:val="ListParagraph"/>
        <w:numPr>
          <w:ilvl w:val="0"/>
          <w:numId w:val="1"/>
        </w:numPr>
        <w:rPr>
          <w:color w:val="auto"/>
        </w:rPr>
      </w:pPr>
      <w:r w:rsidRPr="00577C42">
        <w:rPr>
          <w:color w:val="auto"/>
        </w:rPr>
        <w:t>“… [R]</w:t>
      </w:r>
      <w:proofErr w:type="spellStart"/>
      <w:r w:rsidRPr="00577C42">
        <w:rPr>
          <w:color w:val="auto"/>
        </w:rPr>
        <w:t>egulation</w:t>
      </w:r>
      <w:proofErr w:type="spellEnd"/>
      <w:r w:rsidRPr="00577C42">
        <w:rPr>
          <w:color w:val="auto"/>
        </w:rPr>
        <w:t xml:space="preserve"> reduces the uncertainty that investments to address the environment will be valuable.”</w:t>
      </w:r>
    </w:p>
    <w:p w14:paraId="17C0A0B5" w14:textId="05DD42C0" w:rsidR="00FA1C78" w:rsidRPr="00577C42" w:rsidRDefault="008816C2" w:rsidP="00086545">
      <w:pPr>
        <w:pStyle w:val="ListParagraph"/>
        <w:numPr>
          <w:ilvl w:val="0"/>
          <w:numId w:val="1"/>
        </w:numPr>
        <w:rPr>
          <w:color w:val="auto"/>
        </w:rPr>
      </w:pPr>
      <w:r w:rsidRPr="00577C42">
        <w:rPr>
          <w:color w:val="auto"/>
        </w:rPr>
        <w:t>“… [R]</w:t>
      </w:r>
      <w:proofErr w:type="spellStart"/>
      <w:r w:rsidRPr="00577C42">
        <w:rPr>
          <w:color w:val="auto"/>
        </w:rPr>
        <w:t>egulation</w:t>
      </w:r>
      <w:proofErr w:type="spellEnd"/>
      <w:r w:rsidRPr="00577C42">
        <w:rPr>
          <w:color w:val="auto"/>
        </w:rPr>
        <w:t xml:space="preserve"> creates pressure that motivates innovation and progress.”</w:t>
      </w:r>
    </w:p>
    <w:p w14:paraId="2294A22D" w14:textId="77777777" w:rsidR="00FA1C78" w:rsidRPr="00C032D3" w:rsidRDefault="008816C2" w:rsidP="00086545">
      <w:pPr>
        <w:pStyle w:val="ListParagraph"/>
        <w:numPr>
          <w:ilvl w:val="0"/>
          <w:numId w:val="1"/>
        </w:numPr>
        <w:rPr>
          <w:color w:val="auto"/>
        </w:rPr>
      </w:pPr>
      <w:r w:rsidRPr="00577C42">
        <w:rPr>
          <w:color w:val="auto"/>
        </w:rPr>
        <w:t>“… [R]</w:t>
      </w:r>
      <w:proofErr w:type="spellStart"/>
      <w:r w:rsidRPr="00577C42">
        <w:rPr>
          <w:color w:val="auto"/>
        </w:rPr>
        <w:t>egulation</w:t>
      </w:r>
      <w:proofErr w:type="spellEnd"/>
      <w:r w:rsidRPr="00577C42">
        <w:rPr>
          <w:color w:val="auto"/>
        </w:rPr>
        <w:t xml:space="preserve"> levels the transitional playing field. During the transition period to innovation-based solutions, regulation ensures that one company cannot opportunistically gain position by avoiding environmental investments.”</w:t>
      </w:r>
    </w:p>
    <w:p w14:paraId="48E2E060" w14:textId="5540AA76" w:rsidR="00FA1C78" w:rsidRPr="00577C42" w:rsidRDefault="008816C2" w:rsidP="00086545">
      <w:pPr>
        <w:rPr>
          <w:color w:val="auto"/>
        </w:rPr>
      </w:pPr>
      <w:r w:rsidRPr="00577C42">
        <w:rPr>
          <w:color w:val="auto"/>
        </w:rPr>
        <w:t xml:space="preserve">In this context, market-based and flexible instruments such as environmental taxes and tradable </w:t>
      </w:r>
      <w:r w:rsidR="00FA1C78" w:rsidRPr="00577C42">
        <w:rPr>
          <w:color w:val="auto"/>
        </w:rPr>
        <w:t>emission</w:t>
      </w:r>
      <w:r w:rsidRPr="00577C42">
        <w:rPr>
          <w:color w:val="auto"/>
        </w:rPr>
        <w:t>s are believed to be more conducive to innovation by allowing business to determine the best ways to achieve compliance (</w:t>
      </w:r>
      <w:proofErr w:type="spellStart"/>
      <w:r w:rsidRPr="00577C42">
        <w:rPr>
          <w:color w:val="auto"/>
        </w:rPr>
        <w:t>Ambec</w:t>
      </w:r>
      <w:proofErr w:type="spellEnd"/>
      <w:r w:rsidRPr="00577C42">
        <w:rPr>
          <w:color w:val="auto"/>
        </w:rPr>
        <w:t xml:space="preserve"> </w:t>
      </w:r>
      <w:r w:rsidRPr="00577C42">
        <w:rPr>
          <w:i/>
          <w:color w:val="auto"/>
        </w:rPr>
        <w:t>et al.</w:t>
      </w:r>
      <w:r w:rsidRPr="00577C42">
        <w:rPr>
          <w:color w:val="auto"/>
        </w:rPr>
        <w:t xml:space="preserve"> </w:t>
      </w:r>
      <w:r w:rsidR="00FA1C78" w:rsidRPr="00C032D3">
        <w:rPr>
          <w:color w:val="auto"/>
        </w:rPr>
        <w:t>2013</w:t>
      </w:r>
      <w:r w:rsidRPr="00577C42">
        <w:rPr>
          <w:color w:val="auto"/>
        </w:rPr>
        <w:t>). Further, there is a</w:t>
      </w:r>
      <w:r w:rsidR="004C5C0D" w:rsidRPr="00577C42">
        <w:rPr>
          <w:color w:val="auto"/>
        </w:rPr>
        <w:t>n</w:t>
      </w:r>
      <w:r w:rsidRPr="00577C42">
        <w:rPr>
          <w:color w:val="auto"/>
        </w:rPr>
        <w:t xml:space="preserve"> </w:t>
      </w:r>
      <w:r w:rsidR="004C5C0D" w:rsidRPr="00577C42">
        <w:rPr>
          <w:color w:val="auto"/>
        </w:rPr>
        <w:t xml:space="preserve">increasing </w:t>
      </w:r>
      <w:r w:rsidRPr="00577C42">
        <w:rPr>
          <w:color w:val="auto"/>
        </w:rPr>
        <w:t xml:space="preserve">tendency for </w:t>
      </w:r>
      <w:r w:rsidR="00FA1C78" w:rsidRPr="00C032D3">
        <w:rPr>
          <w:color w:val="auto"/>
        </w:rPr>
        <w:t>over</w:t>
      </w:r>
      <w:r w:rsidRPr="00577C42">
        <w:rPr>
          <w:color w:val="auto"/>
        </w:rPr>
        <w:t>compliance by businesses seeking to gain competitive advantage and</w:t>
      </w:r>
      <w:r w:rsidR="004C5C0D" w:rsidRPr="00577C42">
        <w:rPr>
          <w:color w:val="auto"/>
        </w:rPr>
        <w:t>/or</w:t>
      </w:r>
      <w:r w:rsidRPr="00577C42">
        <w:rPr>
          <w:color w:val="auto"/>
        </w:rPr>
        <w:t xml:space="preserve"> maintain their social </w:t>
      </w:r>
      <w:r w:rsidR="00715AD6" w:rsidRPr="00C032D3">
        <w:rPr>
          <w:color w:val="auto"/>
        </w:rPr>
        <w:t>licenc</w:t>
      </w:r>
      <w:r w:rsidR="00FA1C78" w:rsidRPr="00C032D3">
        <w:rPr>
          <w:color w:val="auto"/>
        </w:rPr>
        <w:t>e</w:t>
      </w:r>
      <w:r w:rsidRPr="00577C42">
        <w:rPr>
          <w:color w:val="auto"/>
        </w:rPr>
        <w:t xml:space="preserve"> to operate (Ford</w:t>
      </w:r>
      <w:r w:rsidR="00E468C6" w:rsidRPr="00577C42">
        <w:rPr>
          <w:color w:val="auto"/>
        </w:rPr>
        <w:t xml:space="preserve">, Steen and </w:t>
      </w:r>
      <w:proofErr w:type="spellStart"/>
      <w:r w:rsidR="00E468C6" w:rsidRPr="00577C42">
        <w:rPr>
          <w:color w:val="auto"/>
        </w:rPr>
        <w:t>Verreyne</w:t>
      </w:r>
      <w:proofErr w:type="spellEnd"/>
      <w:r w:rsidR="00E468C6" w:rsidRPr="00577C42">
        <w:rPr>
          <w:color w:val="auto"/>
        </w:rPr>
        <w:t xml:space="preserve"> </w:t>
      </w:r>
      <w:r w:rsidR="00FA1C78" w:rsidRPr="00C032D3">
        <w:rPr>
          <w:color w:val="auto"/>
        </w:rPr>
        <w:t>2014</w:t>
      </w:r>
      <w:r w:rsidRPr="00577C42">
        <w:rPr>
          <w:color w:val="auto"/>
        </w:rPr>
        <w:t>). Market-based instruments are</w:t>
      </w:r>
      <w:r w:rsidR="004C5C0D" w:rsidRPr="00577C42">
        <w:rPr>
          <w:color w:val="auto"/>
        </w:rPr>
        <w:t>,</w:t>
      </w:r>
      <w:r w:rsidRPr="00577C42">
        <w:rPr>
          <w:color w:val="auto"/>
        </w:rPr>
        <w:t xml:space="preserve"> </w:t>
      </w:r>
      <w:r w:rsidR="00FA1C78" w:rsidRPr="00C032D3">
        <w:rPr>
          <w:color w:val="auto"/>
        </w:rPr>
        <w:t>therefore</w:t>
      </w:r>
      <w:r w:rsidR="004C5C0D" w:rsidRPr="00577C42">
        <w:rPr>
          <w:color w:val="auto"/>
        </w:rPr>
        <w:t>,</w:t>
      </w:r>
      <w:r w:rsidRPr="00577C42">
        <w:rPr>
          <w:color w:val="auto"/>
        </w:rPr>
        <w:t xml:space="preserve"> essential for triggering the efficiency-based green economy process (E</w:t>
      </w:r>
      <w:r w:rsidR="00E468C6" w:rsidRPr="00577C42">
        <w:rPr>
          <w:color w:val="auto"/>
        </w:rPr>
        <w:t>EA</w:t>
      </w:r>
      <w:r w:rsidRPr="00577C42">
        <w:rPr>
          <w:color w:val="auto"/>
        </w:rPr>
        <w:t xml:space="preserve"> </w:t>
      </w:r>
      <w:r w:rsidR="00FA1C78" w:rsidRPr="00C032D3">
        <w:rPr>
          <w:color w:val="auto"/>
        </w:rPr>
        <w:t>2014</w:t>
      </w:r>
      <w:r w:rsidRPr="00577C42">
        <w:rPr>
          <w:color w:val="auto"/>
        </w:rPr>
        <w:t>).</w:t>
      </w:r>
      <w:r w:rsidR="003A2A49" w:rsidRPr="00577C42">
        <w:rPr>
          <w:color w:val="auto"/>
        </w:rPr>
        <w:t xml:space="preserve"> Nevertheless, a green economy approach </w:t>
      </w:r>
      <w:r w:rsidR="00F85AB1" w:rsidRPr="00577C42">
        <w:rPr>
          <w:color w:val="auto"/>
        </w:rPr>
        <w:t xml:space="preserve">and market-based instruments focusing on efficiency are frequently </w:t>
      </w:r>
      <w:r w:rsidR="00F85AB1" w:rsidRPr="00C032D3">
        <w:rPr>
          <w:color w:val="auto"/>
        </w:rPr>
        <w:t>critic</w:t>
      </w:r>
      <w:r w:rsidR="00FA1C78" w:rsidRPr="00C032D3">
        <w:rPr>
          <w:color w:val="auto"/>
        </w:rPr>
        <w:t>ize</w:t>
      </w:r>
      <w:r w:rsidR="00F85AB1" w:rsidRPr="00C032D3">
        <w:rPr>
          <w:color w:val="auto"/>
        </w:rPr>
        <w:t>d</w:t>
      </w:r>
      <w:r w:rsidR="00F85AB1" w:rsidRPr="00577C42">
        <w:rPr>
          <w:color w:val="auto"/>
        </w:rPr>
        <w:t xml:space="preserve"> on the grounds of poor consideration of </w:t>
      </w:r>
      <w:r w:rsidR="003A2A49" w:rsidRPr="00577C42">
        <w:rPr>
          <w:color w:val="auto"/>
        </w:rPr>
        <w:t>social equity</w:t>
      </w:r>
      <w:r w:rsidR="004C5C0D" w:rsidRPr="00577C42">
        <w:rPr>
          <w:color w:val="auto"/>
        </w:rPr>
        <w:t>—for example</w:t>
      </w:r>
      <w:r w:rsidR="00F85AB1" w:rsidRPr="00577C42">
        <w:rPr>
          <w:color w:val="auto"/>
        </w:rPr>
        <w:t xml:space="preserve">, by having distributional </w:t>
      </w:r>
      <w:r w:rsidR="002B2AEC" w:rsidRPr="00577C42">
        <w:rPr>
          <w:color w:val="auto"/>
        </w:rPr>
        <w:t xml:space="preserve">effects </w:t>
      </w:r>
      <w:r w:rsidR="00DB6905" w:rsidRPr="00577C42">
        <w:rPr>
          <w:color w:val="auto"/>
        </w:rPr>
        <w:t>that disadvantage</w:t>
      </w:r>
      <w:r w:rsidR="002B2AEC" w:rsidRPr="00577C42">
        <w:rPr>
          <w:color w:val="auto"/>
        </w:rPr>
        <w:t xml:space="preserve"> poor</w:t>
      </w:r>
      <w:r w:rsidR="004C5C0D" w:rsidRPr="00577C42">
        <w:rPr>
          <w:color w:val="auto"/>
        </w:rPr>
        <w:t xml:space="preserve"> people</w:t>
      </w:r>
      <w:r w:rsidR="003A2A49" w:rsidRPr="00577C42">
        <w:rPr>
          <w:color w:val="auto"/>
        </w:rPr>
        <w:t>.</w:t>
      </w:r>
    </w:p>
    <w:p w14:paraId="1EE50B58" w14:textId="1E9E196B" w:rsidR="00FA1C78" w:rsidRPr="00577C42" w:rsidRDefault="008816C2" w:rsidP="00086545">
      <w:pPr>
        <w:rPr>
          <w:color w:val="auto"/>
        </w:rPr>
      </w:pPr>
      <w:r w:rsidRPr="00577C42">
        <w:rPr>
          <w:color w:val="auto"/>
        </w:rPr>
        <w:t>Environmental policies can also have a positive impact on employment, particularly in the context of economic activities integrating the environmental dimension; these include renewable energy, construction, transport, agriculture</w:t>
      </w:r>
      <w:r w:rsidR="008419C5" w:rsidRPr="00577C42">
        <w:rPr>
          <w:color w:val="auto"/>
        </w:rPr>
        <w:t>,</w:t>
      </w:r>
      <w:r w:rsidRPr="00577C42">
        <w:rPr>
          <w:color w:val="auto"/>
        </w:rPr>
        <w:t xml:space="preserve"> forestry, and recycling and waste management (UNEP </w:t>
      </w:r>
      <w:r w:rsidR="00FA1C78" w:rsidRPr="00C032D3">
        <w:rPr>
          <w:color w:val="auto"/>
        </w:rPr>
        <w:t>2011</w:t>
      </w:r>
      <w:r w:rsidRPr="00577C42">
        <w:rPr>
          <w:color w:val="auto"/>
        </w:rPr>
        <w:t xml:space="preserve">; OECD </w:t>
      </w:r>
      <w:r w:rsidR="00FA1C78" w:rsidRPr="00C032D3">
        <w:rPr>
          <w:color w:val="auto"/>
        </w:rPr>
        <w:t>2017</w:t>
      </w:r>
      <w:r w:rsidRPr="00577C42">
        <w:rPr>
          <w:color w:val="auto"/>
        </w:rPr>
        <w:t xml:space="preserve">). Renewable energy is a critical source of employment growth; in </w:t>
      </w:r>
      <w:r w:rsidR="00FA1C78" w:rsidRPr="00C032D3">
        <w:rPr>
          <w:color w:val="auto"/>
        </w:rPr>
        <w:t>2016</w:t>
      </w:r>
      <w:r w:rsidRPr="00577C42">
        <w:rPr>
          <w:color w:val="auto"/>
        </w:rPr>
        <w:t xml:space="preserve">, it was estimated that this sector was </w:t>
      </w:r>
      <w:r w:rsidRPr="00577C42">
        <w:rPr>
          <w:color w:val="auto"/>
        </w:rPr>
        <w:lastRenderedPageBreak/>
        <w:t xml:space="preserve">responsible for 8.1 million jobs globally. Projections indicate that this figure may reach up to 20 million jobs by </w:t>
      </w:r>
      <w:r w:rsidR="00FA1C78" w:rsidRPr="00C032D3">
        <w:rPr>
          <w:color w:val="auto"/>
        </w:rPr>
        <w:t>2030</w:t>
      </w:r>
      <w:r w:rsidRPr="00577C42">
        <w:rPr>
          <w:color w:val="auto"/>
        </w:rPr>
        <w:t xml:space="preserve">: 2.1 million jobs in wind energy production, 6.3 million in solar photovoltaic and 12 million in biofuels-related agriculture and industry (OECD </w:t>
      </w:r>
      <w:r w:rsidR="00FA1C78" w:rsidRPr="00C032D3">
        <w:rPr>
          <w:color w:val="auto"/>
        </w:rPr>
        <w:t>2017</w:t>
      </w:r>
      <w:r w:rsidRPr="00577C42">
        <w:rPr>
          <w:color w:val="auto"/>
        </w:rPr>
        <w:t>). Other sectors, such as agriculture, buildings, forestry and transport are predicted to see job growth in the short, medium and long term exceeding their comparable business</w:t>
      </w:r>
      <w:r w:rsidR="008419C5" w:rsidRPr="00577C42">
        <w:rPr>
          <w:color w:val="auto"/>
        </w:rPr>
        <w:t>-</w:t>
      </w:r>
      <w:r w:rsidRPr="00577C42">
        <w:rPr>
          <w:color w:val="auto"/>
        </w:rPr>
        <w:t>as</w:t>
      </w:r>
      <w:r w:rsidR="008419C5" w:rsidRPr="00577C42">
        <w:rPr>
          <w:color w:val="auto"/>
        </w:rPr>
        <w:t>-</w:t>
      </w:r>
      <w:r w:rsidRPr="00577C42">
        <w:rPr>
          <w:color w:val="auto"/>
        </w:rPr>
        <w:t xml:space="preserve">usual scenarios, as a result of a more resource-efficient and low-carbon economy (UNEP </w:t>
      </w:r>
      <w:r w:rsidR="00FA1C78" w:rsidRPr="00C032D3">
        <w:rPr>
          <w:color w:val="auto"/>
        </w:rPr>
        <w:t>2011</w:t>
      </w:r>
      <w:r w:rsidRPr="00577C42">
        <w:rPr>
          <w:color w:val="auto"/>
        </w:rPr>
        <w:t>). For example, China, which leads global employment in renewable energy, is predicted to generate at least 4.5 million jobs as a result of greening in sectors such as transport and forest</w:t>
      </w:r>
      <w:r w:rsidR="008419C5" w:rsidRPr="00577C42">
        <w:rPr>
          <w:color w:val="auto"/>
        </w:rPr>
        <w:t>ry</w:t>
      </w:r>
      <w:r w:rsidRPr="00577C42">
        <w:rPr>
          <w:color w:val="auto"/>
        </w:rPr>
        <w:t xml:space="preserve"> (Pan</w:t>
      </w:r>
      <w:r w:rsidR="00E468C6" w:rsidRPr="00577C42">
        <w:rPr>
          <w:color w:val="auto"/>
        </w:rPr>
        <w:t xml:space="preserve">, </w:t>
      </w:r>
      <w:r w:rsidR="00995018" w:rsidRPr="00577C42">
        <w:rPr>
          <w:color w:val="auto"/>
        </w:rPr>
        <w:t>M</w:t>
      </w:r>
      <w:r w:rsidR="00E468C6" w:rsidRPr="00577C42">
        <w:rPr>
          <w:color w:val="auto"/>
        </w:rPr>
        <w:t xml:space="preserve">a and Zhang </w:t>
      </w:r>
      <w:r w:rsidR="00FA1C78" w:rsidRPr="00C032D3">
        <w:rPr>
          <w:color w:val="auto"/>
        </w:rPr>
        <w:t>2011</w:t>
      </w:r>
      <w:r w:rsidRPr="00577C42">
        <w:rPr>
          <w:color w:val="auto"/>
        </w:rPr>
        <w:t xml:space="preserve">). Other studies, </w:t>
      </w:r>
      <w:r w:rsidR="008419C5" w:rsidRPr="00577C42">
        <w:rPr>
          <w:color w:val="auto"/>
        </w:rPr>
        <w:t xml:space="preserve">which </w:t>
      </w:r>
      <w:proofErr w:type="gramStart"/>
      <w:r w:rsidRPr="00577C42">
        <w:rPr>
          <w:color w:val="auto"/>
        </w:rPr>
        <w:t>take into account</w:t>
      </w:r>
      <w:proofErr w:type="gramEnd"/>
      <w:r w:rsidRPr="00577C42">
        <w:rPr>
          <w:color w:val="auto"/>
        </w:rPr>
        <w:t xml:space="preserve"> possible losses in other sectors and calculate the net effects of jobs created from environmental policies</w:t>
      </w:r>
      <w:r w:rsidR="008419C5" w:rsidRPr="00577C42">
        <w:rPr>
          <w:color w:val="auto"/>
        </w:rPr>
        <w:t>,</w:t>
      </w:r>
      <w:r w:rsidRPr="00577C42">
        <w:rPr>
          <w:color w:val="auto"/>
        </w:rPr>
        <w:t xml:space="preserve"> are less optimistic, but overall evidence suggests that the net effects are at least not negative (</w:t>
      </w:r>
      <w:proofErr w:type="spellStart"/>
      <w:r w:rsidR="00E468C6" w:rsidRPr="00577C42">
        <w:rPr>
          <w:color w:val="auto"/>
        </w:rPr>
        <w:t>Telli</w:t>
      </w:r>
      <w:proofErr w:type="spellEnd"/>
      <w:r w:rsidR="00E468C6" w:rsidRPr="00577C42">
        <w:rPr>
          <w:color w:val="auto"/>
        </w:rPr>
        <w:t xml:space="preserve"> </w:t>
      </w:r>
      <w:r w:rsidR="00E468C6" w:rsidRPr="00577C42">
        <w:rPr>
          <w:i/>
          <w:color w:val="auto"/>
        </w:rPr>
        <w:t>et al.</w:t>
      </w:r>
      <w:r w:rsidR="00E468C6" w:rsidRPr="00577C42">
        <w:rPr>
          <w:color w:val="auto"/>
        </w:rPr>
        <w:t xml:space="preserve"> </w:t>
      </w:r>
      <w:r w:rsidR="00FA1C78" w:rsidRPr="00C032D3">
        <w:rPr>
          <w:color w:val="auto"/>
        </w:rPr>
        <w:t>2008</w:t>
      </w:r>
      <w:r w:rsidR="00E468C6" w:rsidRPr="00577C42">
        <w:rPr>
          <w:color w:val="auto"/>
        </w:rPr>
        <w:t xml:space="preserve">; </w:t>
      </w:r>
      <w:r w:rsidRPr="00577C42">
        <w:rPr>
          <w:color w:val="auto"/>
        </w:rPr>
        <w:t xml:space="preserve">Lin and Jiang </w:t>
      </w:r>
      <w:r w:rsidR="00FA1C78" w:rsidRPr="00C032D3">
        <w:rPr>
          <w:color w:val="auto"/>
        </w:rPr>
        <w:t>2011</w:t>
      </w:r>
      <w:r w:rsidRPr="00577C42">
        <w:rPr>
          <w:color w:val="auto"/>
        </w:rPr>
        <w:t xml:space="preserve">; </w:t>
      </w:r>
      <w:proofErr w:type="spellStart"/>
      <w:r w:rsidRPr="00577C42">
        <w:rPr>
          <w:color w:val="auto"/>
        </w:rPr>
        <w:t>Willenbockel</w:t>
      </w:r>
      <w:proofErr w:type="spellEnd"/>
      <w:r w:rsidRPr="00577C42">
        <w:rPr>
          <w:color w:val="auto"/>
        </w:rPr>
        <w:t xml:space="preserve"> </w:t>
      </w:r>
      <w:r w:rsidR="00FA1C78" w:rsidRPr="00C032D3">
        <w:rPr>
          <w:color w:val="auto"/>
        </w:rPr>
        <w:t>2011</w:t>
      </w:r>
      <w:r w:rsidRPr="00577C42">
        <w:rPr>
          <w:color w:val="auto"/>
        </w:rPr>
        <w:t>; Jacob</w:t>
      </w:r>
      <w:r w:rsidR="00E468C6" w:rsidRPr="00577C42">
        <w:rPr>
          <w:color w:val="auto"/>
        </w:rPr>
        <w:t xml:space="preserve">, </w:t>
      </w:r>
      <w:proofErr w:type="spellStart"/>
      <w:r w:rsidR="00E468C6" w:rsidRPr="00577C42">
        <w:rPr>
          <w:color w:val="auto"/>
        </w:rPr>
        <w:t>Quitzow</w:t>
      </w:r>
      <w:proofErr w:type="spellEnd"/>
      <w:r w:rsidR="00E468C6" w:rsidRPr="00577C42">
        <w:rPr>
          <w:color w:val="auto"/>
        </w:rPr>
        <w:t xml:space="preserve"> and </w:t>
      </w:r>
      <w:proofErr w:type="spellStart"/>
      <w:r w:rsidR="00E468C6" w:rsidRPr="00577C42">
        <w:rPr>
          <w:color w:val="auto"/>
        </w:rPr>
        <w:t>Bär</w:t>
      </w:r>
      <w:proofErr w:type="spellEnd"/>
      <w:r w:rsidR="00E468C6" w:rsidRPr="00577C42">
        <w:rPr>
          <w:color w:val="auto"/>
        </w:rPr>
        <w:t xml:space="preserve"> </w:t>
      </w:r>
      <w:r w:rsidR="00FA1C78" w:rsidRPr="00C032D3">
        <w:rPr>
          <w:color w:val="auto"/>
        </w:rPr>
        <w:t>2015</w:t>
      </w:r>
      <w:r w:rsidRPr="00577C42">
        <w:rPr>
          <w:color w:val="auto"/>
        </w:rPr>
        <w:t>)</w:t>
      </w:r>
      <w:r w:rsidR="00CD6E9F" w:rsidRPr="00577C42">
        <w:rPr>
          <w:color w:val="auto"/>
        </w:rPr>
        <w:t>.</w:t>
      </w:r>
    </w:p>
    <w:p w14:paraId="24BBA484" w14:textId="7FB1B25A" w:rsidR="00FA1C78" w:rsidRPr="00577C42" w:rsidRDefault="008816C2" w:rsidP="00B04299">
      <w:pPr>
        <w:pStyle w:val="Heading2"/>
      </w:pPr>
      <w:bookmarkStart w:id="75" w:name="_tsd0bgpm8j5q" w:colFirst="0" w:colLast="0"/>
      <w:bookmarkStart w:id="76" w:name="_Toc511747979"/>
      <w:bookmarkEnd w:id="75"/>
      <w:r w:rsidRPr="00577C42">
        <w:t xml:space="preserve">Effectiveness of </w:t>
      </w:r>
      <w:r w:rsidR="008419C5" w:rsidRPr="00577C42">
        <w:t>i</w:t>
      </w:r>
      <w:r w:rsidRPr="00577C42">
        <w:t xml:space="preserve">nternational and </w:t>
      </w:r>
      <w:r w:rsidR="008419C5" w:rsidRPr="00577C42">
        <w:t>m</w:t>
      </w:r>
      <w:r w:rsidRPr="00577C42">
        <w:t>ulti</w:t>
      </w:r>
      <w:r w:rsidR="008419C5" w:rsidRPr="00577C42">
        <w:t>l</w:t>
      </w:r>
      <w:r w:rsidRPr="00577C42">
        <w:t xml:space="preserve">evel </w:t>
      </w:r>
      <w:r w:rsidR="008419C5" w:rsidRPr="00577C42">
        <w:t>g</w:t>
      </w:r>
      <w:r w:rsidRPr="00577C42">
        <w:t>overnance</w:t>
      </w:r>
      <w:bookmarkEnd w:id="76"/>
    </w:p>
    <w:p w14:paraId="5E45D739" w14:textId="77777777" w:rsidR="00FA1C78" w:rsidRPr="00577C42" w:rsidRDefault="008816C2" w:rsidP="00B04299">
      <w:pPr>
        <w:pStyle w:val="Heading3"/>
      </w:pPr>
      <w:bookmarkStart w:id="77" w:name="_owz9xwutflqj" w:colFirst="0" w:colLast="0"/>
      <w:bookmarkStart w:id="78" w:name="_Toc511747980"/>
      <w:bookmarkEnd w:id="77"/>
      <w:r w:rsidRPr="00577C42">
        <w:t>Enduring conceptual challenges of institutional effectiveness</w:t>
      </w:r>
      <w:bookmarkEnd w:id="78"/>
    </w:p>
    <w:p w14:paraId="2EA14C6A" w14:textId="2BAB6726" w:rsidR="00FA1C78" w:rsidRPr="00577C42" w:rsidRDefault="00130283" w:rsidP="00086545">
      <w:pPr>
        <w:rPr>
          <w:color w:val="auto"/>
        </w:rPr>
      </w:pPr>
      <w:r w:rsidRPr="00577C42">
        <w:rPr>
          <w:color w:val="auto"/>
        </w:rPr>
        <w:t>Of course, proper framing of an environmental problem and good policy design form only part of the policy effectiveness analysis (as shown in the policy cycle</w:t>
      </w:r>
      <w:r w:rsidR="003869DF">
        <w:rPr>
          <w:color w:val="auto"/>
        </w:rPr>
        <w:t xml:space="preserve"> </w:t>
      </w:r>
      <w:r w:rsidR="00C0260E" w:rsidRPr="00577C42">
        <w:rPr>
          <w:color w:val="auto"/>
        </w:rPr>
        <w:fldChar w:fldCharType="begin"/>
      </w:r>
      <w:r w:rsidR="00C0260E" w:rsidRPr="00577C42">
        <w:rPr>
          <w:color w:val="auto"/>
        </w:rPr>
        <w:instrText xml:space="preserve"> REF _Ref525083281 \h </w:instrText>
      </w:r>
      <w:r w:rsidR="00715AD6" w:rsidRPr="00577C42">
        <w:rPr>
          <w:color w:val="auto"/>
        </w:rPr>
        <w:instrText xml:space="preserve"> \* MERGEFORMAT </w:instrText>
      </w:r>
      <w:r w:rsidR="00C0260E" w:rsidRPr="00577C42">
        <w:rPr>
          <w:color w:val="auto"/>
        </w:rPr>
      </w:r>
      <w:r w:rsidR="00C0260E" w:rsidRPr="00577C42">
        <w:rPr>
          <w:color w:val="auto"/>
        </w:rPr>
        <w:fldChar w:fldCharType="separate"/>
      </w:r>
      <w:r w:rsidR="00FA1C78" w:rsidRPr="00C032D3">
        <w:rPr>
          <w:color w:val="auto"/>
        </w:rPr>
        <w:t xml:space="preserve">Fig. </w:t>
      </w:r>
      <w:r w:rsidR="00FA1C78" w:rsidRPr="00C032D3">
        <w:rPr>
          <w:noProof/>
          <w:color w:val="auto"/>
        </w:rPr>
        <w:t>1</w:t>
      </w:r>
      <w:r w:rsidR="00C0260E" w:rsidRPr="00577C42">
        <w:rPr>
          <w:noProof/>
          <w:color w:val="auto"/>
        </w:rPr>
        <w:t>1</w:t>
      </w:r>
      <w:r w:rsidR="00C0260E" w:rsidRPr="00577C42">
        <w:rPr>
          <w:color w:val="auto"/>
        </w:rPr>
        <w:t>.</w:t>
      </w:r>
      <w:r w:rsidR="00C0260E" w:rsidRPr="00577C42">
        <w:rPr>
          <w:noProof/>
          <w:color w:val="auto"/>
        </w:rPr>
        <w:t>2</w:t>
      </w:r>
      <w:r w:rsidR="00C0260E" w:rsidRPr="00577C42">
        <w:rPr>
          <w:color w:val="auto"/>
        </w:rPr>
        <w:fldChar w:fldCharType="end"/>
      </w:r>
      <w:r w:rsidRPr="00577C42">
        <w:rPr>
          <w:color w:val="auto"/>
        </w:rPr>
        <w:t xml:space="preserve">). Effective institutions are needed for designing, integrating and implementing </w:t>
      </w:r>
      <w:r w:rsidR="00B47163" w:rsidRPr="00577C42">
        <w:rPr>
          <w:color w:val="auto"/>
        </w:rPr>
        <w:t xml:space="preserve">successful </w:t>
      </w:r>
      <w:r w:rsidRPr="00577C42">
        <w:rPr>
          <w:color w:val="auto"/>
        </w:rPr>
        <w:t xml:space="preserve">environmental policy. </w:t>
      </w:r>
      <w:r w:rsidR="008816C2" w:rsidRPr="00577C42">
        <w:rPr>
          <w:color w:val="auto"/>
        </w:rPr>
        <w:t xml:space="preserve">There are </w:t>
      </w:r>
      <w:r w:rsidRPr="00577C42">
        <w:rPr>
          <w:color w:val="auto"/>
        </w:rPr>
        <w:t>several</w:t>
      </w:r>
      <w:r w:rsidR="008816C2" w:rsidRPr="00577C42">
        <w:rPr>
          <w:color w:val="auto"/>
        </w:rPr>
        <w:t xml:space="preserve"> key challenges when conceiving of institutional effectiveness. One is to disentangle effectiveness from adjacent concepts such as compliance </w:t>
      </w:r>
      <w:r w:rsidR="00413E3D" w:rsidRPr="00577C42">
        <w:rPr>
          <w:color w:val="auto"/>
        </w:rPr>
        <w:t xml:space="preserve">and enforcement </w:t>
      </w:r>
      <w:r w:rsidR="008816C2" w:rsidRPr="00577C42">
        <w:rPr>
          <w:color w:val="auto"/>
        </w:rPr>
        <w:t>(</w:t>
      </w:r>
      <w:proofErr w:type="spellStart"/>
      <w:r w:rsidR="008816C2" w:rsidRPr="00577C42">
        <w:rPr>
          <w:color w:val="auto"/>
        </w:rPr>
        <w:t>Chayes</w:t>
      </w:r>
      <w:proofErr w:type="spellEnd"/>
      <w:r w:rsidR="008816C2" w:rsidRPr="00577C42">
        <w:rPr>
          <w:color w:val="auto"/>
        </w:rPr>
        <w:t xml:space="preserve"> and </w:t>
      </w:r>
      <w:proofErr w:type="spellStart"/>
      <w:r w:rsidR="008816C2" w:rsidRPr="00577C42">
        <w:rPr>
          <w:color w:val="auto"/>
        </w:rPr>
        <w:t>Chayes</w:t>
      </w:r>
      <w:proofErr w:type="spellEnd"/>
      <w:r w:rsidR="008816C2" w:rsidRPr="00577C42">
        <w:rPr>
          <w:color w:val="auto"/>
        </w:rPr>
        <w:t xml:space="preserve"> </w:t>
      </w:r>
      <w:r w:rsidR="00FA1C78" w:rsidRPr="00C032D3">
        <w:rPr>
          <w:color w:val="auto"/>
        </w:rPr>
        <w:t>1993</w:t>
      </w:r>
      <w:r w:rsidR="008816C2" w:rsidRPr="00577C42">
        <w:rPr>
          <w:color w:val="auto"/>
        </w:rPr>
        <w:t xml:space="preserve">). This is important, because an institution may see regular compliance from participants without being effective at all. </w:t>
      </w:r>
      <w:r w:rsidR="00E5726F" w:rsidRPr="00577C42">
        <w:rPr>
          <w:color w:val="auto"/>
        </w:rPr>
        <w:t>Formal compliance with a regulatory instrument is an example of first</w:t>
      </w:r>
      <w:r w:rsidR="008419C5" w:rsidRPr="00577C42">
        <w:rPr>
          <w:color w:val="auto"/>
        </w:rPr>
        <w:t>-</w:t>
      </w:r>
      <w:r w:rsidR="00E5726F" w:rsidRPr="00577C42">
        <w:rPr>
          <w:color w:val="auto"/>
        </w:rPr>
        <w:t>order effectiveness, addressing the identified problem but not necessarily addressing second</w:t>
      </w:r>
      <w:r w:rsidR="008419C5" w:rsidRPr="00577C42">
        <w:rPr>
          <w:color w:val="auto"/>
        </w:rPr>
        <w:t>-</w:t>
      </w:r>
      <w:r w:rsidR="00E5726F" w:rsidRPr="00577C42">
        <w:rPr>
          <w:color w:val="auto"/>
        </w:rPr>
        <w:t xml:space="preserve"> and third</w:t>
      </w:r>
      <w:r w:rsidR="008419C5" w:rsidRPr="00577C42">
        <w:rPr>
          <w:color w:val="auto"/>
        </w:rPr>
        <w:t>-</w:t>
      </w:r>
      <w:r w:rsidR="00E5726F" w:rsidRPr="00577C42">
        <w:rPr>
          <w:color w:val="auto"/>
        </w:rPr>
        <w:t>order issues (other impacts and side effects).</w:t>
      </w:r>
    </w:p>
    <w:p w14:paraId="0EA79376" w14:textId="64ADF53C" w:rsidR="00FA1C78" w:rsidRPr="00577C42" w:rsidRDefault="00E5726F" w:rsidP="00086545">
      <w:pPr>
        <w:rPr>
          <w:color w:val="auto"/>
        </w:rPr>
      </w:pPr>
      <w:r w:rsidRPr="00577C42">
        <w:rPr>
          <w:color w:val="auto"/>
        </w:rPr>
        <w:t>I</w:t>
      </w:r>
      <w:r w:rsidR="008816C2" w:rsidRPr="00577C42">
        <w:rPr>
          <w:color w:val="auto"/>
        </w:rPr>
        <w:t xml:space="preserve">f an institution relies on voluntary participation </w:t>
      </w:r>
      <w:r w:rsidR="008419C5" w:rsidRPr="00577C42">
        <w:rPr>
          <w:color w:val="auto"/>
        </w:rPr>
        <w:t xml:space="preserve">to </w:t>
      </w:r>
      <w:r w:rsidR="00B47163" w:rsidRPr="00577C42">
        <w:rPr>
          <w:color w:val="auto"/>
        </w:rPr>
        <w:t>solv</w:t>
      </w:r>
      <w:r w:rsidR="008419C5" w:rsidRPr="00577C42">
        <w:rPr>
          <w:color w:val="auto"/>
        </w:rPr>
        <w:t>e</w:t>
      </w:r>
      <w:r w:rsidR="00B47163" w:rsidRPr="00577C42">
        <w:rPr>
          <w:color w:val="auto"/>
        </w:rPr>
        <w:t xml:space="preserve"> an environmental problem </w:t>
      </w:r>
      <w:r w:rsidR="008816C2" w:rsidRPr="00577C42">
        <w:rPr>
          <w:color w:val="auto"/>
        </w:rPr>
        <w:t>(as is often the case internationally), then participants may be predisposed to comply with (or without) the institution because they are driven by the same reasons to join the institution in the first place. Thus</w:t>
      </w:r>
      <w:r w:rsidRPr="00577C42">
        <w:rPr>
          <w:color w:val="auto"/>
        </w:rPr>
        <w:t>,</w:t>
      </w:r>
      <w:r w:rsidR="008816C2" w:rsidRPr="00577C42">
        <w:rPr>
          <w:color w:val="auto"/>
        </w:rPr>
        <w:t xml:space="preserve"> some institutions may not change behaviour so much as screen those that are not willing to comply in the first place (Downs</w:t>
      </w:r>
      <w:r w:rsidR="00E468C6" w:rsidRPr="00577C42">
        <w:rPr>
          <w:color w:val="auto"/>
        </w:rPr>
        <w:t xml:space="preserve">, </w:t>
      </w:r>
      <w:proofErr w:type="spellStart"/>
      <w:r w:rsidR="00E468C6" w:rsidRPr="00577C42">
        <w:rPr>
          <w:color w:val="auto"/>
        </w:rPr>
        <w:t>Rocke</w:t>
      </w:r>
      <w:proofErr w:type="spellEnd"/>
      <w:r w:rsidR="00E468C6" w:rsidRPr="00577C42">
        <w:rPr>
          <w:color w:val="auto"/>
        </w:rPr>
        <w:t xml:space="preserve"> and </w:t>
      </w:r>
      <w:proofErr w:type="spellStart"/>
      <w:r w:rsidR="00E468C6" w:rsidRPr="00577C42">
        <w:rPr>
          <w:color w:val="auto"/>
        </w:rPr>
        <w:t>Barsoom</w:t>
      </w:r>
      <w:proofErr w:type="spellEnd"/>
      <w:r w:rsidR="00E468C6" w:rsidRPr="00577C42">
        <w:rPr>
          <w:color w:val="auto"/>
        </w:rPr>
        <w:t xml:space="preserve"> </w:t>
      </w:r>
      <w:r w:rsidR="00FA1C78" w:rsidRPr="00C032D3">
        <w:rPr>
          <w:color w:val="auto"/>
        </w:rPr>
        <w:t>1996</w:t>
      </w:r>
      <w:r w:rsidR="008816C2" w:rsidRPr="00577C42">
        <w:rPr>
          <w:color w:val="auto"/>
        </w:rPr>
        <w:t xml:space="preserve">; </w:t>
      </w:r>
      <w:r w:rsidR="00E468C6" w:rsidRPr="00577C42">
        <w:rPr>
          <w:color w:val="auto"/>
        </w:rPr>
        <w:t>V</w:t>
      </w:r>
      <w:r w:rsidR="008816C2" w:rsidRPr="00577C42">
        <w:rPr>
          <w:color w:val="auto"/>
        </w:rPr>
        <w:t xml:space="preserve">on Stein </w:t>
      </w:r>
      <w:r w:rsidR="00FA1C78" w:rsidRPr="00C032D3">
        <w:rPr>
          <w:color w:val="auto"/>
        </w:rPr>
        <w:t>2005</w:t>
      </w:r>
      <w:r w:rsidR="008816C2" w:rsidRPr="00577C42">
        <w:rPr>
          <w:color w:val="auto"/>
        </w:rPr>
        <w:t xml:space="preserve">; Simmons </w:t>
      </w:r>
      <w:r w:rsidR="00FA1C78" w:rsidRPr="00C032D3">
        <w:rPr>
          <w:color w:val="auto"/>
        </w:rPr>
        <w:t>2010</w:t>
      </w:r>
      <w:r w:rsidR="008816C2" w:rsidRPr="00577C42">
        <w:rPr>
          <w:color w:val="auto"/>
        </w:rPr>
        <w:t xml:space="preserve">). </w:t>
      </w:r>
      <w:r w:rsidR="003875BF" w:rsidRPr="00577C42">
        <w:rPr>
          <w:color w:val="auto"/>
        </w:rPr>
        <w:t xml:space="preserve">Alliances and clubs may provide opportunities for peer pressure to overcome </w:t>
      </w:r>
      <w:r w:rsidR="00B47163" w:rsidRPr="00577C42">
        <w:rPr>
          <w:color w:val="auto"/>
        </w:rPr>
        <w:t>i</w:t>
      </w:r>
      <w:r w:rsidR="003875BF" w:rsidRPr="00577C42">
        <w:rPr>
          <w:color w:val="auto"/>
        </w:rPr>
        <w:t xml:space="preserve">nstitutional reluctance. </w:t>
      </w:r>
      <w:r w:rsidR="003F7F7A" w:rsidRPr="00577C42">
        <w:rPr>
          <w:color w:val="auto"/>
        </w:rPr>
        <w:t>Hybrid governance</w:t>
      </w:r>
      <w:r w:rsidR="008C2781" w:rsidRPr="00577C42">
        <w:rPr>
          <w:color w:val="auto"/>
        </w:rPr>
        <w:t>—</w:t>
      </w:r>
      <w:r w:rsidR="003F7F7A" w:rsidRPr="00577C42">
        <w:rPr>
          <w:color w:val="auto"/>
        </w:rPr>
        <w:t>i.e. combining different modes and instruments of governance</w:t>
      </w:r>
      <w:r w:rsidR="008C2781" w:rsidRPr="00577C42">
        <w:rPr>
          <w:color w:val="auto"/>
        </w:rPr>
        <w:t>—</w:t>
      </w:r>
      <w:r w:rsidR="003F7F7A" w:rsidRPr="00577C42">
        <w:rPr>
          <w:color w:val="auto"/>
        </w:rPr>
        <w:t xml:space="preserve">can help in mutual strengthening </w:t>
      </w:r>
      <w:r w:rsidR="00B47163" w:rsidRPr="00577C42">
        <w:rPr>
          <w:color w:val="auto"/>
        </w:rPr>
        <w:t>(</w:t>
      </w:r>
      <w:r w:rsidR="003F7F7A" w:rsidRPr="00577C42">
        <w:rPr>
          <w:color w:val="auto"/>
        </w:rPr>
        <w:t>e.g. information bases and regulatory approaches</w:t>
      </w:r>
      <w:r w:rsidR="00B47163" w:rsidRPr="00577C42">
        <w:rPr>
          <w:color w:val="auto"/>
        </w:rPr>
        <w:t>)</w:t>
      </w:r>
      <w:r w:rsidR="008419C5" w:rsidRPr="00577C42">
        <w:rPr>
          <w:color w:val="auto"/>
        </w:rPr>
        <w:t>,</w:t>
      </w:r>
      <w:r w:rsidR="003F7F7A" w:rsidRPr="00577C42">
        <w:rPr>
          <w:color w:val="auto"/>
        </w:rPr>
        <w:t xml:space="preserve"> as shown for the European </w:t>
      </w:r>
      <w:r w:rsidR="00FA1C78" w:rsidRPr="00577C42">
        <w:rPr>
          <w:color w:val="auto"/>
        </w:rPr>
        <w:t>chem</w:t>
      </w:r>
      <w:r w:rsidR="00FA1C78" w:rsidRPr="00C032D3">
        <w:rPr>
          <w:color w:val="auto"/>
        </w:rPr>
        <w:t>i</w:t>
      </w:r>
      <w:r w:rsidR="003F7F7A" w:rsidRPr="00577C42">
        <w:rPr>
          <w:color w:val="auto"/>
        </w:rPr>
        <w:t>cal regulation REAC</w:t>
      </w:r>
      <w:r w:rsidR="00995018" w:rsidRPr="00577C42">
        <w:rPr>
          <w:color w:val="auto"/>
        </w:rPr>
        <w:t>H</w:t>
      </w:r>
      <w:r w:rsidR="003F7F7A" w:rsidRPr="00577C42">
        <w:rPr>
          <w:color w:val="auto"/>
        </w:rPr>
        <w:t xml:space="preserve"> (</w:t>
      </w:r>
      <w:r w:rsidR="00DB3913" w:rsidRPr="00577C42">
        <w:rPr>
          <w:color w:val="auto"/>
        </w:rPr>
        <w:t xml:space="preserve">Hey </w:t>
      </w:r>
      <w:r w:rsidR="00DB3913" w:rsidRPr="00577C42">
        <w:rPr>
          <w:i/>
          <w:color w:val="auto"/>
        </w:rPr>
        <w:t>et al.</w:t>
      </w:r>
      <w:r w:rsidR="00DB3913" w:rsidRPr="00577C42">
        <w:rPr>
          <w:color w:val="auto"/>
        </w:rPr>
        <w:t xml:space="preserve"> </w:t>
      </w:r>
      <w:r w:rsidR="00FA1C78" w:rsidRPr="00C032D3">
        <w:rPr>
          <w:color w:val="auto"/>
        </w:rPr>
        <w:t>2007</w:t>
      </w:r>
      <w:r w:rsidR="00DB3913" w:rsidRPr="00577C42">
        <w:rPr>
          <w:color w:val="auto"/>
        </w:rPr>
        <w:t>).</w:t>
      </w:r>
    </w:p>
    <w:p w14:paraId="48B3FDC9" w14:textId="5A4125B2" w:rsidR="00FA1C78" w:rsidRPr="00577C42" w:rsidRDefault="008816C2" w:rsidP="00086545">
      <w:pPr>
        <w:rPr>
          <w:color w:val="auto"/>
        </w:rPr>
      </w:pPr>
      <w:r w:rsidRPr="00577C42">
        <w:rPr>
          <w:color w:val="auto"/>
        </w:rPr>
        <w:t>Another</w:t>
      </w:r>
      <w:r w:rsidR="003875BF" w:rsidRPr="00577C42">
        <w:rPr>
          <w:color w:val="auto"/>
        </w:rPr>
        <w:t xml:space="preserve"> issue</w:t>
      </w:r>
      <w:r w:rsidRPr="00577C42">
        <w:rPr>
          <w:color w:val="auto"/>
        </w:rPr>
        <w:t xml:space="preserve"> is to disentangle effectiveness from performance (Gutner and Thompson </w:t>
      </w:r>
      <w:r w:rsidR="00FA1C78" w:rsidRPr="00C032D3">
        <w:rPr>
          <w:color w:val="auto"/>
        </w:rPr>
        <w:t>2010</w:t>
      </w:r>
      <w:r w:rsidRPr="00577C42">
        <w:rPr>
          <w:color w:val="auto"/>
        </w:rPr>
        <w:t xml:space="preserve">). In relation to biodiversity, Le </w:t>
      </w:r>
      <w:proofErr w:type="spellStart"/>
      <w:r w:rsidRPr="00577C42">
        <w:rPr>
          <w:color w:val="auto"/>
        </w:rPr>
        <w:t>Prestre</w:t>
      </w:r>
      <w:proofErr w:type="spellEnd"/>
      <w:r w:rsidRPr="00577C42">
        <w:rPr>
          <w:color w:val="auto"/>
        </w:rPr>
        <w:t xml:space="preserve"> (</w:t>
      </w:r>
      <w:r w:rsidR="00FA1C78" w:rsidRPr="00C032D3">
        <w:rPr>
          <w:color w:val="auto"/>
        </w:rPr>
        <w:t>2002</w:t>
      </w:r>
      <w:r w:rsidRPr="00577C42">
        <w:rPr>
          <w:color w:val="auto"/>
        </w:rPr>
        <w:t>) distinguishes between use</w:t>
      </w:r>
      <w:r w:rsidR="008419C5" w:rsidRPr="00577C42">
        <w:rPr>
          <w:color w:val="auto"/>
        </w:rPr>
        <w:t>s</w:t>
      </w:r>
      <w:r w:rsidRPr="00577C42">
        <w:rPr>
          <w:color w:val="auto"/>
        </w:rPr>
        <w:t xml:space="preserve"> of effectiveness </w:t>
      </w:r>
      <w:r w:rsidR="008419C5" w:rsidRPr="00577C42">
        <w:rPr>
          <w:color w:val="auto"/>
        </w:rPr>
        <w:t xml:space="preserve">in </w:t>
      </w:r>
      <w:r w:rsidRPr="00577C42">
        <w:rPr>
          <w:color w:val="auto"/>
        </w:rPr>
        <w:t xml:space="preserve">problem-solving (see also Young </w:t>
      </w:r>
      <w:r w:rsidR="00FA1C78" w:rsidRPr="00C032D3">
        <w:rPr>
          <w:color w:val="auto"/>
        </w:rPr>
        <w:t>2011</w:t>
      </w:r>
      <w:r w:rsidRPr="00577C42">
        <w:rPr>
          <w:color w:val="auto"/>
        </w:rPr>
        <w:t>), goal attainment, implementation, compliance, behaviour change, cooperation and normative gains (justice).</w:t>
      </w:r>
    </w:p>
    <w:p w14:paraId="1413B23F" w14:textId="68103370" w:rsidR="00FA1C78" w:rsidRPr="00577C42" w:rsidRDefault="008816C2" w:rsidP="00086545">
      <w:pPr>
        <w:rPr>
          <w:color w:val="auto"/>
        </w:rPr>
      </w:pPr>
      <w:r w:rsidRPr="00577C42">
        <w:rPr>
          <w:color w:val="auto"/>
        </w:rPr>
        <w:lastRenderedPageBreak/>
        <w:t>Different approaches have been proposed to gauge institutional effectiveness, involving both qualitative and quantitative methods. For example, the Oslo-Potsdam solution (</w:t>
      </w:r>
      <w:proofErr w:type="spellStart"/>
      <w:r w:rsidRPr="00577C42">
        <w:rPr>
          <w:color w:val="auto"/>
        </w:rPr>
        <w:t>Hovi</w:t>
      </w:r>
      <w:proofErr w:type="spellEnd"/>
      <w:r w:rsidR="002E1FA5" w:rsidRPr="00577C42">
        <w:rPr>
          <w:color w:val="auto"/>
        </w:rPr>
        <w:t xml:space="preserve">, </w:t>
      </w:r>
      <w:proofErr w:type="spellStart"/>
      <w:r w:rsidR="002E1FA5" w:rsidRPr="00577C42">
        <w:rPr>
          <w:color w:val="auto"/>
        </w:rPr>
        <w:t>Sprinz</w:t>
      </w:r>
      <w:proofErr w:type="spellEnd"/>
      <w:r w:rsidR="002E1FA5" w:rsidRPr="00577C42">
        <w:rPr>
          <w:color w:val="auto"/>
        </w:rPr>
        <w:t xml:space="preserve"> and </w:t>
      </w:r>
      <w:proofErr w:type="spellStart"/>
      <w:r w:rsidR="002E1FA5" w:rsidRPr="00577C42">
        <w:rPr>
          <w:color w:val="auto"/>
        </w:rPr>
        <w:t>Underdal</w:t>
      </w:r>
      <w:proofErr w:type="spellEnd"/>
      <w:r w:rsidR="002E1FA5" w:rsidRPr="00577C42">
        <w:rPr>
          <w:color w:val="auto"/>
        </w:rPr>
        <w:t xml:space="preserve"> </w:t>
      </w:r>
      <w:r w:rsidR="00FA1C78" w:rsidRPr="00C032D3">
        <w:rPr>
          <w:color w:val="auto"/>
        </w:rPr>
        <w:t>2003</w:t>
      </w:r>
      <w:r w:rsidRPr="00577C42">
        <w:rPr>
          <w:color w:val="auto"/>
        </w:rPr>
        <w:t xml:space="preserve">) </w:t>
      </w:r>
      <w:r w:rsidR="00A61E0A" w:rsidRPr="00577C42">
        <w:rPr>
          <w:color w:val="auto"/>
        </w:rPr>
        <w:t xml:space="preserve">proposes </w:t>
      </w:r>
      <w:r w:rsidRPr="00577C42">
        <w:rPr>
          <w:color w:val="auto"/>
        </w:rPr>
        <w:t>an analytic</w:t>
      </w:r>
      <w:r w:rsidR="008C2781" w:rsidRPr="00577C42">
        <w:rPr>
          <w:color w:val="auto"/>
        </w:rPr>
        <w:t>al</w:t>
      </w:r>
      <w:r w:rsidRPr="00577C42">
        <w:rPr>
          <w:color w:val="auto"/>
        </w:rPr>
        <w:t xml:space="preserve"> approach in which one measures institutional effectiveness against both a no-regime counterfactual </w:t>
      </w:r>
      <w:r w:rsidR="00B47163" w:rsidRPr="00577C42">
        <w:rPr>
          <w:color w:val="auto"/>
        </w:rPr>
        <w:t xml:space="preserve">(i.e. what would happen if there </w:t>
      </w:r>
      <w:r w:rsidR="008C2781" w:rsidRPr="00577C42">
        <w:rPr>
          <w:color w:val="auto"/>
        </w:rPr>
        <w:t xml:space="preserve">were </w:t>
      </w:r>
      <w:r w:rsidR="00B47163" w:rsidRPr="00577C42">
        <w:rPr>
          <w:color w:val="auto"/>
        </w:rPr>
        <w:t xml:space="preserve">no responsible institution) </w:t>
      </w:r>
      <w:r w:rsidRPr="00577C42">
        <w:rPr>
          <w:color w:val="auto"/>
        </w:rPr>
        <w:t xml:space="preserve">and an analytically derived collective optimum. </w:t>
      </w:r>
      <w:r w:rsidR="00A61E0A" w:rsidRPr="00577C42">
        <w:rPr>
          <w:color w:val="auto"/>
        </w:rPr>
        <w:t>The approach has been challenged</w:t>
      </w:r>
      <w:r w:rsidR="008C2781" w:rsidRPr="00577C42">
        <w:rPr>
          <w:color w:val="auto"/>
        </w:rPr>
        <w:t>—for example</w:t>
      </w:r>
      <w:r w:rsidR="00A61E0A" w:rsidRPr="00577C42">
        <w:rPr>
          <w:color w:val="auto"/>
        </w:rPr>
        <w:t xml:space="preserve">, on the grounds of failing to propose a consistent baseline (Young </w:t>
      </w:r>
      <w:r w:rsidR="00FA1C78" w:rsidRPr="00C032D3">
        <w:rPr>
          <w:color w:val="auto"/>
        </w:rPr>
        <w:t>2003</w:t>
      </w:r>
      <w:r w:rsidR="00A61E0A" w:rsidRPr="00577C42">
        <w:rPr>
          <w:color w:val="auto"/>
        </w:rPr>
        <w:t xml:space="preserve">). </w:t>
      </w:r>
      <w:r w:rsidRPr="00577C42">
        <w:rPr>
          <w:color w:val="auto"/>
        </w:rPr>
        <w:t xml:space="preserve">A common alternative is an approach that relies on a </w:t>
      </w:r>
      <w:r w:rsidR="00FA1C78" w:rsidRPr="00C032D3">
        <w:rPr>
          <w:color w:val="auto"/>
        </w:rPr>
        <w:t>well</w:t>
      </w:r>
      <w:r w:rsidRPr="00577C42">
        <w:rPr>
          <w:color w:val="auto"/>
        </w:rPr>
        <w:t xml:space="preserve">-specified statistical model to capture the no-regime counterfactual by offering an estimate of an </w:t>
      </w:r>
      <w:r w:rsidR="00FA1C78" w:rsidRPr="00577C42">
        <w:rPr>
          <w:color w:val="auto"/>
        </w:rPr>
        <w:t>‘</w:t>
      </w:r>
      <w:r w:rsidRPr="00577C42">
        <w:rPr>
          <w:color w:val="auto"/>
        </w:rPr>
        <w:t>institutions effect</w:t>
      </w:r>
      <w:r w:rsidR="00FA1C78" w:rsidRPr="00577C42">
        <w:rPr>
          <w:color w:val="auto"/>
        </w:rPr>
        <w:t>’</w:t>
      </w:r>
      <w:r w:rsidRPr="00577C42">
        <w:rPr>
          <w:color w:val="auto"/>
        </w:rPr>
        <w:t>, controlling for other plausible effects on the behavioural variable of interest (</w:t>
      </w:r>
      <w:proofErr w:type="spellStart"/>
      <w:r w:rsidRPr="00577C42">
        <w:rPr>
          <w:color w:val="auto"/>
        </w:rPr>
        <w:t>Bernauer</w:t>
      </w:r>
      <w:proofErr w:type="spellEnd"/>
      <w:r w:rsidRPr="00577C42">
        <w:rPr>
          <w:color w:val="auto"/>
        </w:rPr>
        <w:t xml:space="preserve"> </w:t>
      </w:r>
      <w:r w:rsidR="00FA1C78" w:rsidRPr="00C032D3">
        <w:rPr>
          <w:color w:val="auto"/>
        </w:rPr>
        <w:t>1995</w:t>
      </w:r>
      <w:r w:rsidRPr="00577C42">
        <w:rPr>
          <w:color w:val="auto"/>
        </w:rPr>
        <w:t xml:space="preserve">; Mitchell </w:t>
      </w:r>
      <w:r w:rsidR="00FA1C78" w:rsidRPr="00C032D3">
        <w:rPr>
          <w:color w:val="auto"/>
        </w:rPr>
        <w:t>2006</w:t>
      </w:r>
      <w:r w:rsidRPr="00577C42">
        <w:rPr>
          <w:color w:val="auto"/>
        </w:rPr>
        <w:t>).</w:t>
      </w:r>
    </w:p>
    <w:p w14:paraId="6C1A4B16" w14:textId="77777777" w:rsidR="00FA1C78" w:rsidRPr="00577C42" w:rsidRDefault="008816C2" w:rsidP="00B04299">
      <w:pPr>
        <w:pStyle w:val="Heading3"/>
      </w:pPr>
      <w:bookmarkStart w:id="79" w:name="_u97wwku4jlw5" w:colFirst="0" w:colLast="0"/>
      <w:bookmarkStart w:id="80" w:name="_Toc511747981"/>
      <w:bookmarkEnd w:id="79"/>
      <w:r w:rsidRPr="00577C42">
        <w:t>Determinants of institutional effectiveness</w:t>
      </w:r>
      <w:bookmarkEnd w:id="80"/>
    </w:p>
    <w:p w14:paraId="2AB551EE" w14:textId="18B3CD9C" w:rsidR="00FA1C78" w:rsidRPr="00577C42" w:rsidRDefault="006C7971" w:rsidP="00086545">
      <w:pPr>
        <w:rPr>
          <w:color w:val="auto"/>
        </w:rPr>
      </w:pPr>
      <w:r>
        <w:rPr>
          <w:color w:val="auto"/>
        </w:rPr>
        <w:t xml:space="preserve">What is important for </w:t>
      </w:r>
      <w:r w:rsidR="008816C2" w:rsidRPr="00577C42">
        <w:rPr>
          <w:color w:val="auto"/>
        </w:rPr>
        <w:t xml:space="preserve">strengthening existing international environmental institutions and/or creating new ones is the understanding of the effectiveness of these institutions (Young </w:t>
      </w:r>
      <w:r w:rsidR="00FA1C78" w:rsidRPr="00C032D3">
        <w:rPr>
          <w:color w:val="auto"/>
        </w:rPr>
        <w:t>2011</w:t>
      </w:r>
      <w:r w:rsidR="008816C2" w:rsidRPr="00577C42">
        <w:rPr>
          <w:color w:val="auto"/>
        </w:rPr>
        <w:t xml:space="preserve">). </w:t>
      </w:r>
      <w:r w:rsidR="00413E3D" w:rsidRPr="00577C42">
        <w:rPr>
          <w:color w:val="auto"/>
        </w:rPr>
        <w:t xml:space="preserve">Increasingly important in international environmental policy </w:t>
      </w:r>
      <w:r>
        <w:rPr>
          <w:color w:val="auto"/>
        </w:rPr>
        <w:t>discussions</w:t>
      </w:r>
      <w:r w:rsidRPr="00577C42">
        <w:rPr>
          <w:color w:val="auto"/>
        </w:rPr>
        <w:t xml:space="preserve"> </w:t>
      </w:r>
      <w:r w:rsidR="00413E3D" w:rsidRPr="00577C42">
        <w:rPr>
          <w:color w:val="auto"/>
        </w:rPr>
        <w:t xml:space="preserve">is the role of </w:t>
      </w:r>
      <w:r w:rsidR="00FA1C78" w:rsidRPr="00C032D3">
        <w:rPr>
          <w:color w:val="auto"/>
        </w:rPr>
        <w:t>non</w:t>
      </w:r>
      <w:r w:rsidR="00FA1C78" w:rsidRPr="00577C42">
        <w:rPr>
          <w:color w:val="auto"/>
        </w:rPr>
        <w:t>-</w:t>
      </w:r>
      <w:r w:rsidR="00413E3D" w:rsidRPr="00577C42">
        <w:rPr>
          <w:color w:val="auto"/>
        </w:rPr>
        <w:t xml:space="preserve">State actors such as local governments, cities and civil society </w:t>
      </w:r>
      <w:r w:rsidR="00413E3D" w:rsidRPr="00C032D3">
        <w:rPr>
          <w:color w:val="auto"/>
        </w:rPr>
        <w:t>organ</w:t>
      </w:r>
      <w:r w:rsidR="00FA1C78" w:rsidRPr="00C032D3">
        <w:rPr>
          <w:color w:val="auto"/>
        </w:rPr>
        <w:t>iza</w:t>
      </w:r>
      <w:r w:rsidR="00413E3D" w:rsidRPr="00C032D3">
        <w:rPr>
          <w:color w:val="auto"/>
        </w:rPr>
        <w:t>tions</w:t>
      </w:r>
      <w:r w:rsidR="008849B6" w:rsidRPr="00577C42">
        <w:rPr>
          <w:color w:val="auto"/>
        </w:rPr>
        <w:t xml:space="preserve"> (</w:t>
      </w:r>
      <w:proofErr w:type="spellStart"/>
      <w:r w:rsidR="008849B6" w:rsidRPr="00577C42">
        <w:rPr>
          <w:color w:val="auto"/>
        </w:rPr>
        <w:t>Nasiritousi</w:t>
      </w:r>
      <w:proofErr w:type="spellEnd"/>
      <w:r w:rsidR="008849B6" w:rsidRPr="00577C42">
        <w:rPr>
          <w:color w:val="auto"/>
        </w:rPr>
        <w:t xml:space="preserve"> </w:t>
      </w:r>
      <w:r w:rsidR="008849B6" w:rsidRPr="00577C42">
        <w:rPr>
          <w:i/>
          <w:color w:val="auto"/>
        </w:rPr>
        <w:t>et al.</w:t>
      </w:r>
      <w:r w:rsidR="008849B6" w:rsidRPr="00577C42">
        <w:rPr>
          <w:color w:val="auto"/>
        </w:rPr>
        <w:t xml:space="preserve"> </w:t>
      </w:r>
      <w:r w:rsidR="00FA1C78" w:rsidRPr="00C032D3">
        <w:rPr>
          <w:color w:val="auto"/>
        </w:rPr>
        <w:t>2016</w:t>
      </w:r>
      <w:r w:rsidR="008849B6" w:rsidRPr="00577C42">
        <w:rPr>
          <w:color w:val="auto"/>
        </w:rPr>
        <w:t>)</w:t>
      </w:r>
      <w:r w:rsidR="00413E3D" w:rsidRPr="00577C42">
        <w:rPr>
          <w:color w:val="auto"/>
        </w:rPr>
        <w:t>.</w:t>
      </w:r>
      <w:r w:rsidR="002237F1" w:rsidRPr="00577C42">
        <w:rPr>
          <w:color w:val="auto"/>
        </w:rPr>
        <w:t xml:space="preserve"> In the absence of national government support for internationally agreed environmental goals, individual states and cities may carve out their own implementation agendas</w:t>
      </w:r>
      <w:r>
        <w:rPr>
          <w:color w:val="auto"/>
        </w:rPr>
        <w:t>, such as in the Paris Agreement</w:t>
      </w:r>
      <w:r w:rsidR="002237F1" w:rsidRPr="00577C42">
        <w:rPr>
          <w:color w:val="auto"/>
        </w:rPr>
        <w:t>.</w:t>
      </w:r>
    </w:p>
    <w:p w14:paraId="6208A2F8" w14:textId="0D0B4085" w:rsidR="00FA1C78" w:rsidRPr="00577C42" w:rsidRDefault="008816C2" w:rsidP="00086545">
      <w:pPr>
        <w:rPr>
          <w:color w:val="auto"/>
        </w:rPr>
      </w:pPr>
      <w:r w:rsidRPr="00577C42">
        <w:rPr>
          <w:color w:val="auto"/>
        </w:rPr>
        <w:t xml:space="preserve">A major determinant of institutional effectiveness is the structure of the problem that </w:t>
      </w:r>
      <w:r w:rsidR="008C2781" w:rsidRPr="00577C42">
        <w:rPr>
          <w:color w:val="auto"/>
        </w:rPr>
        <w:t xml:space="preserve">the institution </w:t>
      </w:r>
      <w:r w:rsidRPr="00577C42">
        <w:rPr>
          <w:color w:val="auto"/>
        </w:rPr>
        <w:t xml:space="preserve">is trying to tackle (Mitchell and </w:t>
      </w:r>
      <w:proofErr w:type="spellStart"/>
      <w:r w:rsidRPr="00577C42">
        <w:rPr>
          <w:color w:val="auto"/>
        </w:rPr>
        <w:t>Keilbach</w:t>
      </w:r>
      <w:proofErr w:type="spellEnd"/>
      <w:r w:rsidRPr="00577C42">
        <w:rPr>
          <w:color w:val="auto"/>
        </w:rPr>
        <w:t xml:space="preserve"> </w:t>
      </w:r>
      <w:r w:rsidR="00FA1C78" w:rsidRPr="00C032D3">
        <w:rPr>
          <w:color w:val="auto"/>
        </w:rPr>
        <w:t>2001</w:t>
      </w:r>
      <w:r w:rsidRPr="00577C42">
        <w:rPr>
          <w:color w:val="auto"/>
        </w:rPr>
        <w:t>). These contextual factors include the distribution and enforcement problems faced</w:t>
      </w:r>
      <w:r w:rsidR="008C2781" w:rsidRPr="00577C42">
        <w:rPr>
          <w:color w:val="auto"/>
        </w:rPr>
        <w:t>,</w:t>
      </w:r>
      <w:r w:rsidRPr="00577C42">
        <w:rPr>
          <w:color w:val="auto"/>
        </w:rPr>
        <w:t xml:space="preserve"> as </w:t>
      </w:r>
      <w:r w:rsidR="00FA1C78" w:rsidRPr="00C032D3">
        <w:rPr>
          <w:color w:val="auto"/>
        </w:rPr>
        <w:t>well</w:t>
      </w:r>
      <w:r w:rsidRPr="00577C42">
        <w:rPr>
          <w:color w:val="auto"/>
        </w:rPr>
        <w:t xml:space="preserve"> as various types of uncertainty (</w:t>
      </w:r>
      <w:proofErr w:type="spellStart"/>
      <w:r w:rsidRPr="00577C42">
        <w:rPr>
          <w:color w:val="auto"/>
        </w:rPr>
        <w:t>Koremenos</w:t>
      </w:r>
      <w:proofErr w:type="spellEnd"/>
      <w:r w:rsidRPr="00577C42">
        <w:rPr>
          <w:color w:val="auto"/>
        </w:rPr>
        <w:t xml:space="preserve">, </w:t>
      </w:r>
      <w:r w:rsidR="002E1FA5" w:rsidRPr="00577C42">
        <w:rPr>
          <w:color w:val="auto"/>
        </w:rPr>
        <w:t xml:space="preserve">Lipson and </w:t>
      </w:r>
      <w:r w:rsidRPr="00577C42">
        <w:rPr>
          <w:color w:val="auto"/>
        </w:rPr>
        <w:t xml:space="preserve">Snidal </w:t>
      </w:r>
      <w:r w:rsidR="00FA1C78" w:rsidRPr="00C032D3">
        <w:rPr>
          <w:color w:val="auto"/>
        </w:rPr>
        <w:t>2001</w:t>
      </w:r>
      <w:r w:rsidRPr="00577C42">
        <w:rPr>
          <w:color w:val="auto"/>
        </w:rPr>
        <w:t xml:space="preserve">). It is also important that actors </w:t>
      </w:r>
      <w:r w:rsidRPr="00C032D3">
        <w:rPr>
          <w:color w:val="auto"/>
        </w:rPr>
        <w:t>rec</w:t>
      </w:r>
      <w:r w:rsidR="00FA1C78" w:rsidRPr="00C032D3">
        <w:rPr>
          <w:color w:val="auto"/>
        </w:rPr>
        <w:t>o</w:t>
      </w:r>
      <w:r w:rsidR="00FA1C78" w:rsidRPr="00577C42">
        <w:rPr>
          <w:color w:val="auto"/>
        </w:rPr>
        <w:t>gn</w:t>
      </w:r>
      <w:r w:rsidR="00FA1C78" w:rsidRPr="00C032D3">
        <w:rPr>
          <w:color w:val="auto"/>
        </w:rPr>
        <w:t>ize</w:t>
      </w:r>
      <w:r w:rsidRPr="00577C42">
        <w:rPr>
          <w:color w:val="auto"/>
        </w:rPr>
        <w:t xml:space="preserve"> that there is a problem (Mitchell </w:t>
      </w:r>
      <w:r w:rsidR="00FA1C78" w:rsidRPr="00C032D3">
        <w:rPr>
          <w:color w:val="auto"/>
        </w:rPr>
        <w:t>2009</w:t>
      </w:r>
      <w:r w:rsidRPr="00577C42">
        <w:rPr>
          <w:color w:val="auto"/>
        </w:rPr>
        <w:t xml:space="preserve">; </w:t>
      </w:r>
      <w:proofErr w:type="spellStart"/>
      <w:r w:rsidRPr="00577C42">
        <w:rPr>
          <w:color w:val="auto"/>
        </w:rPr>
        <w:t>Breitmeier</w:t>
      </w:r>
      <w:proofErr w:type="spellEnd"/>
      <w:r w:rsidR="002E1FA5" w:rsidRPr="00577C42">
        <w:rPr>
          <w:color w:val="auto"/>
        </w:rPr>
        <w:t xml:space="preserve">, </w:t>
      </w:r>
      <w:proofErr w:type="spellStart"/>
      <w:r w:rsidR="002E1FA5" w:rsidRPr="00577C42">
        <w:rPr>
          <w:color w:val="auto"/>
        </w:rPr>
        <w:t>Underdal</w:t>
      </w:r>
      <w:proofErr w:type="spellEnd"/>
      <w:r w:rsidR="002E1FA5" w:rsidRPr="00577C42">
        <w:rPr>
          <w:color w:val="auto"/>
        </w:rPr>
        <w:t xml:space="preserve"> and Young </w:t>
      </w:r>
      <w:r w:rsidR="00FA1C78" w:rsidRPr="00C032D3">
        <w:rPr>
          <w:color w:val="auto"/>
        </w:rPr>
        <w:t>201</w:t>
      </w:r>
      <w:r w:rsidR="002A105C">
        <w:rPr>
          <w:color w:val="auto"/>
        </w:rPr>
        <w:t>1</w:t>
      </w:r>
      <w:r w:rsidRPr="00577C42">
        <w:rPr>
          <w:color w:val="auto"/>
        </w:rPr>
        <w:t>)</w:t>
      </w:r>
      <w:r w:rsidR="008472A3" w:rsidRPr="00577C42">
        <w:rPr>
          <w:color w:val="auto"/>
        </w:rPr>
        <w:t xml:space="preserve"> and provide the necessary environmental leadership</w:t>
      </w:r>
      <w:r w:rsidR="005325B6" w:rsidRPr="00577C42">
        <w:rPr>
          <w:color w:val="auto"/>
        </w:rPr>
        <w:t xml:space="preserve"> (</w:t>
      </w:r>
      <w:proofErr w:type="spellStart"/>
      <w:r w:rsidR="005325B6" w:rsidRPr="00577C42">
        <w:rPr>
          <w:color w:val="auto"/>
        </w:rPr>
        <w:t>Sprinz</w:t>
      </w:r>
      <w:proofErr w:type="spellEnd"/>
      <w:r w:rsidR="005325B6" w:rsidRPr="00577C42">
        <w:rPr>
          <w:color w:val="auto"/>
        </w:rPr>
        <w:t xml:space="preserve"> and </w:t>
      </w:r>
      <w:proofErr w:type="spellStart"/>
      <w:r w:rsidR="005325B6" w:rsidRPr="00577C42">
        <w:rPr>
          <w:color w:val="auto"/>
        </w:rPr>
        <w:t>Vaahtoranta</w:t>
      </w:r>
      <w:proofErr w:type="spellEnd"/>
      <w:r w:rsidR="005325B6" w:rsidRPr="00577C42">
        <w:rPr>
          <w:color w:val="auto"/>
        </w:rPr>
        <w:t xml:space="preserve"> </w:t>
      </w:r>
      <w:r w:rsidR="00FA1C78" w:rsidRPr="00C032D3">
        <w:rPr>
          <w:color w:val="auto"/>
        </w:rPr>
        <w:t>1994</w:t>
      </w:r>
      <w:r w:rsidR="005325B6" w:rsidRPr="00577C42">
        <w:rPr>
          <w:color w:val="auto"/>
        </w:rPr>
        <w:t>)</w:t>
      </w:r>
      <w:r w:rsidR="008472A3" w:rsidRPr="00577C42">
        <w:rPr>
          <w:color w:val="auto"/>
        </w:rPr>
        <w:t>.</w:t>
      </w:r>
    </w:p>
    <w:p w14:paraId="6C695AF8" w14:textId="510E4380" w:rsidR="00FA1C78" w:rsidRPr="00577C42" w:rsidRDefault="008816C2" w:rsidP="00086545">
      <w:pPr>
        <w:rPr>
          <w:color w:val="auto"/>
        </w:rPr>
      </w:pPr>
      <w:r w:rsidRPr="00577C42">
        <w:rPr>
          <w:color w:val="auto"/>
        </w:rPr>
        <w:t>Next are the specific actors involved</w:t>
      </w:r>
      <w:r w:rsidR="006C7971">
        <w:rPr>
          <w:color w:val="auto"/>
        </w:rPr>
        <w:t xml:space="preserve"> in the policy problem</w:t>
      </w:r>
      <w:r w:rsidRPr="00577C42">
        <w:rPr>
          <w:color w:val="auto"/>
        </w:rPr>
        <w:t>. In some cases, the support of a powerful actor can be important for institutional success</w:t>
      </w:r>
      <w:r w:rsidR="008C2781" w:rsidRPr="00577C42">
        <w:rPr>
          <w:color w:val="auto"/>
        </w:rPr>
        <w:t>;</w:t>
      </w:r>
      <w:r w:rsidRPr="00577C42">
        <w:rPr>
          <w:color w:val="auto"/>
        </w:rPr>
        <w:t xml:space="preserve"> however</w:t>
      </w:r>
      <w:r w:rsidR="008C2781" w:rsidRPr="00577C42">
        <w:rPr>
          <w:color w:val="auto"/>
        </w:rPr>
        <w:t>,</w:t>
      </w:r>
      <w:r w:rsidRPr="00577C42">
        <w:rPr>
          <w:color w:val="auto"/>
        </w:rPr>
        <w:t xml:space="preserve"> this is not a necessary condition (Young </w:t>
      </w:r>
      <w:r w:rsidR="00FA1C78" w:rsidRPr="00C032D3">
        <w:rPr>
          <w:color w:val="auto"/>
        </w:rPr>
        <w:t>2011</w:t>
      </w:r>
      <w:r w:rsidRPr="00577C42">
        <w:rPr>
          <w:color w:val="auto"/>
        </w:rPr>
        <w:t xml:space="preserve">). Some institutions rely on a powerful coalition of willing actors to establish and run an effective institution (Sebenius </w:t>
      </w:r>
      <w:r w:rsidR="00FA1C78" w:rsidRPr="00C032D3">
        <w:rPr>
          <w:color w:val="auto"/>
        </w:rPr>
        <w:t>1991</w:t>
      </w:r>
      <w:r w:rsidRPr="00577C42">
        <w:rPr>
          <w:color w:val="auto"/>
        </w:rPr>
        <w:t xml:space="preserve">). These </w:t>
      </w:r>
      <w:r w:rsidR="00FA1C78" w:rsidRPr="00577C42">
        <w:rPr>
          <w:color w:val="auto"/>
        </w:rPr>
        <w:t>‘</w:t>
      </w:r>
      <w:r w:rsidRPr="00577C42">
        <w:rPr>
          <w:color w:val="auto"/>
        </w:rPr>
        <w:t>pushers</w:t>
      </w:r>
      <w:r w:rsidR="00FA1C78" w:rsidRPr="00577C42">
        <w:rPr>
          <w:color w:val="auto"/>
        </w:rPr>
        <w:t>’</w:t>
      </w:r>
      <w:r w:rsidRPr="00577C42">
        <w:rPr>
          <w:color w:val="auto"/>
        </w:rPr>
        <w:t xml:space="preserve"> can be frustrated by </w:t>
      </w:r>
      <w:r w:rsidR="00FA1C78" w:rsidRPr="00577C42">
        <w:rPr>
          <w:color w:val="auto"/>
        </w:rPr>
        <w:t>‘</w:t>
      </w:r>
      <w:r w:rsidRPr="00577C42">
        <w:rPr>
          <w:color w:val="auto"/>
        </w:rPr>
        <w:t>laggards</w:t>
      </w:r>
      <w:r w:rsidR="00FA1C78" w:rsidRPr="00577C42">
        <w:rPr>
          <w:color w:val="auto"/>
        </w:rPr>
        <w:t>’</w:t>
      </w:r>
      <w:r w:rsidRPr="00577C42">
        <w:rPr>
          <w:color w:val="auto"/>
        </w:rPr>
        <w:t>, however (</w:t>
      </w:r>
      <w:proofErr w:type="spellStart"/>
      <w:r w:rsidRPr="00577C42">
        <w:rPr>
          <w:color w:val="auto"/>
        </w:rPr>
        <w:t>Sprinz</w:t>
      </w:r>
      <w:proofErr w:type="spellEnd"/>
      <w:r w:rsidRPr="00577C42">
        <w:rPr>
          <w:color w:val="auto"/>
        </w:rPr>
        <w:t xml:space="preserve"> and </w:t>
      </w:r>
      <w:proofErr w:type="spellStart"/>
      <w:r w:rsidRPr="00577C42">
        <w:rPr>
          <w:color w:val="auto"/>
        </w:rPr>
        <w:t>Vaahtoranta</w:t>
      </w:r>
      <w:proofErr w:type="spellEnd"/>
      <w:r w:rsidRPr="00577C42">
        <w:rPr>
          <w:color w:val="auto"/>
        </w:rPr>
        <w:t xml:space="preserve"> </w:t>
      </w:r>
      <w:r w:rsidR="00FA1C78" w:rsidRPr="00C032D3">
        <w:rPr>
          <w:color w:val="auto"/>
        </w:rPr>
        <w:t>1994</w:t>
      </w:r>
      <w:r w:rsidRPr="00577C42">
        <w:rPr>
          <w:color w:val="auto"/>
        </w:rPr>
        <w:t xml:space="preserve">; Haas, Keohane and Levy </w:t>
      </w:r>
      <w:r w:rsidR="00FA1C78" w:rsidRPr="00C032D3">
        <w:rPr>
          <w:color w:val="auto"/>
        </w:rPr>
        <w:t>1993</w:t>
      </w:r>
      <w:r w:rsidRPr="00577C42">
        <w:rPr>
          <w:color w:val="auto"/>
        </w:rPr>
        <w:t>).</w:t>
      </w:r>
      <w:r w:rsidR="00FA1C78" w:rsidRPr="00C032D3">
        <w:rPr>
          <w:color w:val="auto"/>
        </w:rPr>
        <w:t xml:space="preserve"> </w:t>
      </w:r>
      <w:r w:rsidR="009204E5" w:rsidRPr="00577C42">
        <w:rPr>
          <w:color w:val="auto"/>
        </w:rPr>
        <w:t xml:space="preserve">Often in complex negotiations, the lowest level of ambition that can be accepted by all becomes a significant barrier to </w:t>
      </w:r>
      <w:r w:rsidR="00FA1C78" w:rsidRPr="00577C42">
        <w:rPr>
          <w:color w:val="auto"/>
        </w:rPr>
        <w:t>progress</w:t>
      </w:r>
      <w:r w:rsidR="009204E5" w:rsidRPr="00577C42">
        <w:rPr>
          <w:color w:val="auto"/>
        </w:rPr>
        <w:t xml:space="preserve"> (</w:t>
      </w:r>
      <w:proofErr w:type="spellStart"/>
      <w:r w:rsidR="009204E5" w:rsidRPr="00577C42">
        <w:rPr>
          <w:color w:val="auto"/>
        </w:rPr>
        <w:t>Underdal</w:t>
      </w:r>
      <w:proofErr w:type="spellEnd"/>
      <w:r w:rsidR="009204E5" w:rsidRPr="00577C42">
        <w:rPr>
          <w:color w:val="auto"/>
        </w:rPr>
        <w:t xml:space="preserve"> </w:t>
      </w:r>
      <w:r w:rsidR="00FA1C78" w:rsidRPr="00C032D3">
        <w:rPr>
          <w:color w:val="auto"/>
        </w:rPr>
        <w:t>1983</w:t>
      </w:r>
      <w:r w:rsidR="009204E5" w:rsidRPr="00577C42">
        <w:rPr>
          <w:color w:val="auto"/>
        </w:rPr>
        <w:t>).</w:t>
      </w:r>
    </w:p>
    <w:p w14:paraId="441B565F" w14:textId="0A88C99C" w:rsidR="00FA1C78" w:rsidRPr="00577C42" w:rsidRDefault="008816C2" w:rsidP="00086545">
      <w:pPr>
        <w:rPr>
          <w:color w:val="auto"/>
        </w:rPr>
      </w:pPr>
      <w:r w:rsidRPr="00577C42">
        <w:rPr>
          <w:color w:val="auto"/>
        </w:rPr>
        <w:t xml:space="preserve">One important mechanism for </w:t>
      </w:r>
      <w:r w:rsidR="008C2781" w:rsidRPr="00577C42">
        <w:rPr>
          <w:color w:val="auto"/>
        </w:rPr>
        <w:t xml:space="preserve">the efficacy of </w:t>
      </w:r>
      <w:r w:rsidRPr="00577C42">
        <w:rPr>
          <w:color w:val="auto"/>
        </w:rPr>
        <w:t xml:space="preserve">international institutions is domestic leverage. By providing the information resources, international institutions can induce change in national policies via domestic constituents that are empowered through that information </w:t>
      </w:r>
      <w:r w:rsidR="006C7971">
        <w:rPr>
          <w:color w:val="auto"/>
        </w:rPr>
        <w:t xml:space="preserve">provided by </w:t>
      </w:r>
      <w:r w:rsidR="008C2781" w:rsidRPr="00577C42">
        <w:rPr>
          <w:color w:val="auto"/>
        </w:rPr>
        <w:t>th</w:t>
      </w:r>
      <w:r w:rsidR="006C7971">
        <w:rPr>
          <w:color w:val="auto"/>
        </w:rPr>
        <w:t>e</w:t>
      </w:r>
      <w:r w:rsidR="008C2781" w:rsidRPr="00577C42">
        <w:rPr>
          <w:color w:val="auto"/>
        </w:rPr>
        <w:t xml:space="preserve">se </w:t>
      </w:r>
      <w:r w:rsidRPr="00577C42">
        <w:rPr>
          <w:color w:val="auto"/>
        </w:rPr>
        <w:t xml:space="preserve">resources (Dai </w:t>
      </w:r>
      <w:r w:rsidR="00FA1C78" w:rsidRPr="00C032D3">
        <w:rPr>
          <w:color w:val="auto"/>
        </w:rPr>
        <w:t>2005</w:t>
      </w:r>
      <w:r w:rsidRPr="00577C42">
        <w:rPr>
          <w:color w:val="auto"/>
        </w:rPr>
        <w:t>).</w:t>
      </w:r>
    </w:p>
    <w:p w14:paraId="779DF14D" w14:textId="77D4A952" w:rsidR="00FA1C78" w:rsidRPr="00577C42" w:rsidRDefault="008816C2" w:rsidP="00086545">
      <w:pPr>
        <w:rPr>
          <w:color w:val="auto"/>
        </w:rPr>
      </w:pPr>
      <w:r w:rsidRPr="00577C42">
        <w:rPr>
          <w:color w:val="auto"/>
        </w:rPr>
        <w:t>Another key determinant is institutional design. Young (</w:t>
      </w:r>
      <w:r w:rsidR="00FA1C78" w:rsidRPr="00C032D3">
        <w:rPr>
          <w:color w:val="auto"/>
        </w:rPr>
        <w:t>2011</w:t>
      </w:r>
      <w:r w:rsidRPr="00577C42">
        <w:rPr>
          <w:color w:val="auto"/>
        </w:rPr>
        <w:t>) argues that design is often more significant than problem structure in determining an institution</w:t>
      </w:r>
      <w:r w:rsidR="00FA1C78" w:rsidRPr="00577C42">
        <w:rPr>
          <w:color w:val="auto"/>
        </w:rPr>
        <w:t>’</w:t>
      </w:r>
      <w:r w:rsidRPr="00577C42">
        <w:rPr>
          <w:color w:val="auto"/>
        </w:rPr>
        <w:t>s effectiveness. The depth and density of regime rules is important (</w:t>
      </w:r>
      <w:proofErr w:type="spellStart"/>
      <w:r w:rsidRPr="00577C42">
        <w:rPr>
          <w:color w:val="auto"/>
        </w:rPr>
        <w:t>Breitmeier</w:t>
      </w:r>
      <w:proofErr w:type="spellEnd"/>
      <w:r w:rsidR="002E1FA5" w:rsidRPr="00577C42">
        <w:rPr>
          <w:color w:val="auto"/>
        </w:rPr>
        <w:t xml:space="preserve">, </w:t>
      </w:r>
      <w:proofErr w:type="spellStart"/>
      <w:r w:rsidR="002E1FA5" w:rsidRPr="00577C42">
        <w:rPr>
          <w:color w:val="auto"/>
        </w:rPr>
        <w:lastRenderedPageBreak/>
        <w:t>Underdal</w:t>
      </w:r>
      <w:proofErr w:type="spellEnd"/>
      <w:r w:rsidR="002E1FA5" w:rsidRPr="00577C42">
        <w:rPr>
          <w:color w:val="auto"/>
        </w:rPr>
        <w:t xml:space="preserve"> and Young </w:t>
      </w:r>
      <w:r w:rsidR="00FA1C78" w:rsidRPr="00C032D3">
        <w:rPr>
          <w:color w:val="auto"/>
        </w:rPr>
        <w:t>2011</w:t>
      </w:r>
      <w:r w:rsidRPr="00577C42">
        <w:rPr>
          <w:color w:val="auto"/>
        </w:rPr>
        <w:t xml:space="preserve">). Moreover, the </w:t>
      </w:r>
      <w:r w:rsidR="00FA1C78" w:rsidRPr="00577C42">
        <w:rPr>
          <w:color w:val="auto"/>
        </w:rPr>
        <w:t>‘</w:t>
      </w:r>
      <w:r w:rsidRPr="00577C42">
        <w:rPr>
          <w:color w:val="auto"/>
        </w:rPr>
        <w:t>deepest</w:t>
      </w:r>
      <w:r w:rsidR="00FA1C78" w:rsidRPr="00577C42">
        <w:rPr>
          <w:color w:val="auto"/>
        </w:rPr>
        <w:t>’</w:t>
      </w:r>
      <w:r w:rsidRPr="00577C42">
        <w:rPr>
          <w:color w:val="auto"/>
        </w:rPr>
        <w:t xml:space="preserve"> institutions do not necessarily scare off potential participants (</w:t>
      </w:r>
      <w:proofErr w:type="spellStart"/>
      <w:r w:rsidRPr="00577C42">
        <w:rPr>
          <w:color w:val="auto"/>
        </w:rPr>
        <w:t>Bernauer</w:t>
      </w:r>
      <w:proofErr w:type="spellEnd"/>
      <w:r w:rsidRPr="00577C42">
        <w:rPr>
          <w:color w:val="auto"/>
        </w:rPr>
        <w:t xml:space="preserve"> </w:t>
      </w:r>
      <w:r w:rsidRPr="00577C42">
        <w:rPr>
          <w:i/>
          <w:color w:val="auto"/>
        </w:rPr>
        <w:t>et al.</w:t>
      </w:r>
      <w:r w:rsidRPr="00577C42">
        <w:rPr>
          <w:color w:val="auto"/>
        </w:rPr>
        <w:t xml:space="preserve"> </w:t>
      </w:r>
      <w:r w:rsidR="00FA1C78" w:rsidRPr="00C032D3">
        <w:rPr>
          <w:color w:val="auto"/>
        </w:rPr>
        <w:t>2013</w:t>
      </w:r>
      <w:r w:rsidRPr="00577C42">
        <w:rPr>
          <w:color w:val="auto"/>
        </w:rPr>
        <w:t>). Many actors are attracted to institutions that promise results (</w:t>
      </w:r>
      <w:proofErr w:type="spellStart"/>
      <w:r w:rsidRPr="00577C42">
        <w:rPr>
          <w:color w:val="auto"/>
        </w:rPr>
        <w:t>Hollway</w:t>
      </w:r>
      <w:proofErr w:type="spellEnd"/>
      <w:r w:rsidRPr="00577C42">
        <w:rPr>
          <w:color w:val="auto"/>
        </w:rPr>
        <w:t xml:space="preserve"> and Koskinen </w:t>
      </w:r>
      <w:r w:rsidR="00FA1C78" w:rsidRPr="00C032D3">
        <w:rPr>
          <w:color w:val="auto"/>
        </w:rPr>
        <w:t>2016</w:t>
      </w:r>
      <w:r w:rsidRPr="00577C42">
        <w:rPr>
          <w:color w:val="auto"/>
        </w:rPr>
        <w:t>).</w:t>
      </w:r>
    </w:p>
    <w:p w14:paraId="30D9A742" w14:textId="3D0CEAC2" w:rsidR="00FA1C78" w:rsidRPr="00577C42" w:rsidRDefault="008816C2" w:rsidP="00086545">
      <w:pPr>
        <w:rPr>
          <w:color w:val="auto"/>
        </w:rPr>
      </w:pPr>
      <w:r w:rsidRPr="00577C42">
        <w:rPr>
          <w:color w:val="auto"/>
        </w:rPr>
        <w:t>However, the effects of an institution</w:t>
      </w:r>
      <w:r w:rsidR="00FA1C78" w:rsidRPr="00577C42">
        <w:rPr>
          <w:color w:val="auto"/>
        </w:rPr>
        <w:t>’</w:t>
      </w:r>
      <w:r w:rsidRPr="00577C42">
        <w:rPr>
          <w:color w:val="auto"/>
        </w:rPr>
        <w:t xml:space="preserve">s design reach beyond what is strictly regulatory (Young </w:t>
      </w:r>
      <w:r w:rsidR="00FA1C78" w:rsidRPr="00C032D3">
        <w:rPr>
          <w:color w:val="auto"/>
        </w:rPr>
        <w:t>2011</w:t>
      </w:r>
      <w:r w:rsidRPr="00577C42">
        <w:rPr>
          <w:color w:val="auto"/>
        </w:rPr>
        <w:t>), especially where international organizations are established. An organization</w:t>
      </w:r>
      <w:r w:rsidR="00FA1C78" w:rsidRPr="00577C42">
        <w:rPr>
          <w:color w:val="auto"/>
        </w:rPr>
        <w:t>’</w:t>
      </w:r>
      <w:r w:rsidRPr="00577C42">
        <w:rPr>
          <w:color w:val="auto"/>
        </w:rPr>
        <w:t>s design can foster certain institutional cultures and enable that organization to play a role in orchestrating various governance actors active in an issue area, such as private governance or public</w:t>
      </w:r>
      <w:r w:rsidR="008C2781" w:rsidRPr="00577C42">
        <w:rPr>
          <w:color w:val="auto"/>
        </w:rPr>
        <w:t>–</w:t>
      </w:r>
      <w:r w:rsidRPr="00577C42">
        <w:rPr>
          <w:color w:val="auto"/>
        </w:rPr>
        <w:t xml:space="preserve">private governance (Abbott and Snidal </w:t>
      </w:r>
      <w:r w:rsidR="00FA1C78" w:rsidRPr="00C032D3">
        <w:rPr>
          <w:color w:val="auto"/>
        </w:rPr>
        <w:t>2010</w:t>
      </w:r>
      <w:r w:rsidRPr="00577C42">
        <w:rPr>
          <w:color w:val="auto"/>
        </w:rPr>
        <w:t xml:space="preserve">; </w:t>
      </w:r>
      <w:proofErr w:type="spellStart"/>
      <w:r w:rsidRPr="00577C42">
        <w:rPr>
          <w:color w:val="auto"/>
        </w:rPr>
        <w:t>Andonova</w:t>
      </w:r>
      <w:proofErr w:type="spellEnd"/>
      <w:r w:rsidRPr="00577C42">
        <w:rPr>
          <w:color w:val="auto"/>
        </w:rPr>
        <w:t xml:space="preserve"> </w:t>
      </w:r>
      <w:r w:rsidR="00FA1C78" w:rsidRPr="00C032D3">
        <w:rPr>
          <w:color w:val="auto"/>
        </w:rPr>
        <w:t>2017</w:t>
      </w:r>
      <w:r w:rsidRPr="00577C42">
        <w:rPr>
          <w:color w:val="auto"/>
        </w:rPr>
        <w:t>).</w:t>
      </w:r>
    </w:p>
    <w:p w14:paraId="5DE3C201" w14:textId="3CAB1780" w:rsidR="00FA1C78" w:rsidRPr="00577C42" w:rsidRDefault="008816C2" w:rsidP="00086545">
      <w:pPr>
        <w:rPr>
          <w:color w:val="auto"/>
        </w:rPr>
      </w:pPr>
      <w:proofErr w:type="gramStart"/>
      <w:r w:rsidRPr="00577C42">
        <w:rPr>
          <w:color w:val="auto"/>
        </w:rPr>
        <w:t xml:space="preserve">Additional </w:t>
      </w:r>
      <w:r w:rsidR="006C7971">
        <w:rPr>
          <w:color w:val="auto"/>
        </w:rPr>
        <w:t xml:space="preserve">considerations </w:t>
      </w:r>
      <w:r w:rsidRPr="00577C42">
        <w:rPr>
          <w:color w:val="auto"/>
        </w:rPr>
        <w:t xml:space="preserve">of </w:t>
      </w:r>
      <w:r w:rsidR="00FA1C78" w:rsidRPr="00577C42">
        <w:rPr>
          <w:color w:val="auto"/>
        </w:rPr>
        <w:t>‘</w:t>
      </w:r>
      <w:r w:rsidRPr="00577C42">
        <w:rPr>
          <w:color w:val="auto"/>
        </w:rPr>
        <w:t>cutting-edge</w:t>
      </w:r>
      <w:r w:rsidR="00FA1C78" w:rsidRPr="00577C42">
        <w:rPr>
          <w:color w:val="auto"/>
        </w:rPr>
        <w:t>’</w:t>
      </w:r>
      <w:r w:rsidRPr="00577C42">
        <w:rPr>
          <w:color w:val="auto"/>
        </w:rPr>
        <w:t xml:space="preserve"> concern,</w:t>
      </w:r>
      <w:proofErr w:type="gramEnd"/>
      <w:r w:rsidRPr="00577C42">
        <w:rPr>
          <w:color w:val="auto"/>
        </w:rPr>
        <w:t xml:space="preserve"> may hold significant interest for policymakers. These include: (</w:t>
      </w:r>
      <w:proofErr w:type="spellStart"/>
      <w:r w:rsidRPr="00577C42">
        <w:rPr>
          <w:color w:val="auto"/>
        </w:rPr>
        <w:t>i</w:t>
      </w:r>
      <w:proofErr w:type="spellEnd"/>
      <w:r w:rsidRPr="00577C42">
        <w:rPr>
          <w:color w:val="auto"/>
        </w:rPr>
        <w:t>) the deep structure of international society in which environmental institutions are embedded</w:t>
      </w:r>
      <w:r w:rsidR="008C2781" w:rsidRPr="00577C42">
        <w:rPr>
          <w:color w:val="auto"/>
        </w:rPr>
        <w:t>,</w:t>
      </w:r>
      <w:r w:rsidR="00500921" w:rsidRPr="00577C42">
        <w:rPr>
          <w:color w:val="auto"/>
        </w:rPr>
        <w:t xml:space="preserve"> and the need to align </w:t>
      </w:r>
      <w:r w:rsidR="008C2781" w:rsidRPr="00577C42">
        <w:rPr>
          <w:color w:val="auto"/>
        </w:rPr>
        <w:t xml:space="preserve">the </w:t>
      </w:r>
      <w:r w:rsidR="00500921" w:rsidRPr="00577C42">
        <w:rPr>
          <w:color w:val="auto"/>
        </w:rPr>
        <w:t>regime to this structure</w:t>
      </w:r>
      <w:r w:rsidR="00BF0F44" w:rsidRPr="00577C42">
        <w:rPr>
          <w:color w:val="auto"/>
        </w:rPr>
        <w:t>, most notably the power structure and norms</w:t>
      </w:r>
      <w:r w:rsidRPr="00577C42">
        <w:rPr>
          <w:color w:val="auto"/>
        </w:rPr>
        <w:t xml:space="preserve">; and (ii) </w:t>
      </w:r>
      <w:r w:rsidR="008849B6" w:rsidRPr="00577C42">
        <w:rPr>
          <w:color w:val="auto"/>
        </w:rPr>
        <w:t xml:space="preserve">the </w:t>
      </w:r>
      <w:r w:rsidR="00FA1C78" w:rsidRPr="00C032D3">
        <w:rPr>
          <w:color w:val="auto"/>
        </w:rPr>
        <w:t>non</w:t>
      </w:r>
      <w:r w:rsidR="008C2781" w:rsidRPr="00C032D3">
        <w:rPr>
          <w:color w:val="auto"/>
        </w:rPr>
        <w:t>-</w:t>
      </w:r>
      <w:r w:rsidR="00FA1C78" w:rsidRPr="00C032D3">
        <w:rPr>
          <w:color w:val="auto"/>
        </w:rPr>
        <w:t>line</w:t>
      </w:r>
      <w:r w:rsidRPr="00577C42">
        <w:rPr>
          <w:color w:val="auto"/>
        </w:rPr>
        <w:t>ar nature of human</w:t>
      </w:r>
      <w:r w:rsidR="008C2781" w:rsidRPr="00577C42">
        <w:rPr>
          <w:color w:val="auto"/>
        </w:rPr>
        <w:t xml:space="preserve"> interactions with the </w:t>
      </w:r>
      <w:r w:rsidRPr="00577C42">
        <w:rPr>
          <w:color w:val="auto"/>
        </w:rPr>
        <w:t xml:space="preserve">environment (Young </w:t>
      </w:r>
      <w:r w:rsidR="00FA1C78" w:rsidRPr="00C032D3">
        <w:rPr>
          <w:color w:val="auto"/>
        </w:rPr>
        <w:t>2011</w:t>
      </w:r>
      <w:r w:rsidRPr="00577C42">
        <w:rPr>
          <w:color w:val="auto"/>
        </w:rPr>
        <w:t>).</w:t>
      </w:r>
    </w:p>
    <w:p w14:paraId="771CB631" w14:textId="77777777" w:rsidR="00FA1C78" w:rsidRPr="00577C42" w:rsidRDefault="008816C2" w:rsidP="00B04299">
      <w:pPr>
        <w:pStyle w:val="Heading3"/>
      </w:pPr>
      <w:bookmarkStart w:id="81" w:name="_hyhp4iptbic" w:colFirst="0" w:colLast="0"/>
      <w:bookmarkStart w:id="82" w:name="_Toc511747982"/>
      <w:bookmarkEnd w:id="81"/>
      <w:r w:rsidRPr="00577C42">
        <w:t>Vertical and horizontal interplay in multilevel governance</w:t>
      </w:r>
      <w:bookmarkEnd w:id="82"/>
    </w:p>
    <w:p w14:paraId="5877229E" w14:textId="5109401D" w:rsidR="00FA1C78" w:rsidRPr="00577C42" w:rsidRDefault="008816C2" w:rsidP="00086545">
      <w:pPr>
        <w:rPr>
          <w:color w:val="auto"/>
        </w:rPr>
      </w:pPr>
      <w:r w:rsidRPr="00577C42">
        <w:rPr>
          <w:color w:val="auto"/>
        </w:rPr>
        <w:t>International environmental institutions interact among themselves and with institutions from other policy areas such as trade, energy and finance (</w:t>
      </w:r>
      <w:proofErr w:type="spellStart"/>
      <w:r w:rsidR="002E1FA5" w:rsidRPr="00577C42">
        <w:rPr>
          <w:color w:val="auto"/>
        </w:rPr>
        <w:t>Stokke</w:t>
      </w:r>
      <w:proofErr w:type="spellEnd"/>
      <w:r w:rsidR="002E1FA5" w:rsidRPr="00577C42">
        <w:rPr>
          <w:color w:val="auto"/>
        </w:rPr>
        <w:t xml:space="preserve"> </w:t>
      </w:r>
      <w:r w:rsidR="00FA1C78" w:rsidRPr="00C032D3">
        <w:rPr>
          <w:color w:val="auto"/>
        </w:rPr>
        <w:t>2001</w:t>
      </w:r>
      <w:r w:rsidR="002E1FA5" w:rsidRPr="00577C42">
        <w:rPr>
          <w:color w:val="auto"/>
        </w:rPr>
        <w:t xml:space="preserve">; </w:t>
      </w:r>
      <w:r w:rsidRPr="00577C42">
        <w:rPr>
          <w:color w:val="auto"/>
        </w:rPr>
        <w:t xml:space="preserve">Gehring and </w:t>
      </w:r>
      <w:proofErr w:type="spellStart"/>
      <w:r w:rsidRPr="00577C42">
        <w:rPr>
          <w:color w:val="auto"/>
        </w:rPr>
        <w:t>Oberth</w:t>
      </w:r>
      <w:r w:rsidR="002E1FA5" w:rsidRPr="00577C42">
        <w:rPr>
          <w:color w:val="auto"/>
        </w:rPr>
        <w:t>ü</w:t>
      </w:r>
      <w:r w:rsidRPr="00577C42">
        <w:rPr>
          <w:color w:val="auto"/>
        </w:rPr>
        <w:t>r</w:t>
      </w:r>
      <w:proofErr w:type="spellEnd"/>
      <w:r w:rsidRPr="00577C42">
        <w:rPr>
          <w:color w:val="auto"/>
        </w:rPr>
        <w:t xml:space="preserve"> </w:t>
      </w:r>
      <w:r w:rsidR="00FA1C78" w:rsidRPr="00C032D3">
        <w:rPr>
          <w:color w:val="auto"/>
        </w:rPr>
        <w:t>2008</w:t>
      </w:r>
      <w:r w:rsidRPr="00577C42">
        <w:rPr>
          <w:color w:val="auto"/>
        </w:rPr>
        <w:t xml:space="preserve">; </w:t>
      </w:r>
      <w:proofErr w:type="spellStart"/>
      <w:r w:rsidRPr="00577C42">
        <w:rPr>
          <w:color w:val="auto"/>
        </w:rPr>
        <w:t>Oberth</w:t>
      </w:r>
      <w:r w:rsidR="002E1FA5" w:rsidRPr="00577C42">
        <w:rPr>
          <w:color w:val="auto"/>
        </w:rPr>
        <w:t>ü</w:t>
      </w:r>
      <w:r w:rsidRPr="00577C42">
        <w:rPr>
          <w:color w:val="auto"/>
        </w:rPr>
        <w:t>r</w:t>
      </w:r>
      <w:proofErr w:type="spellEnd"/>
      <w:r w:rsidRPr="00577C42">
        <w:rPr>
          <w:color w:val="auto"/>
        </w:rPr>
        <w:t xml:space="preserve"> </w:t>
      </w:r>
      <w:r w:rsidR="00FA1C78" w:rsidRPr="00C032D3">
        <w:rPr>
          <w:color w:val="auto"/>
        </w:rPr>
        <w:t>2009</w:t>
      </w:r>
      <w:r w:rsidRPr="00577C42">
        <w:rPr>
          <w:color w:val="auto"/>
        </w:rPr>
        <w:t xml:space="preserve">; </w:t>
      </w:r>
      <w:proofErr w:type="spellStart"/>
      <w:r w:rsidRPr="00577C42">
        <w:rPr>
          <w:color w:val="auto"/>
        </w:rPr>
        <w:t>Oberth</w:t>
      </w:r>
      <w:r w:rsidR="002E1FA5" w:rsidRPr="00577C42">
        <w:rPr>
          <w:color w:val="auto"/>
        </w:rPr>
        <w:t>ü</w:t>
      </w:r>
      <w:r w:rsidRPr="00577C42">
        <w:rPr>
          <w:color w:val="auto"/>
        </w:rPr>
        <w:t>r</w:t>
      </w:r>
      <w:proofErr w:type="spellEnd"/>
      <w:r w:rsidRPr="00577C42">
        <w:rPr>
          <w:color w:val="auto"/>
        </w:rPr>
        <w:t xml:space="preserve"> and </w:t>
      </w:r>
      <w:proofErr w:type="spellStart"/>
      <w:r w:rsidRPr="00577C42">
        <w:rPr>
          <w:color w:val="auto"/>
        </w:rPr>
        <w:t>Stokke</w:t>
      </w:r>
      <w:proofErr w:type="spellEnd"/>
      <w:r w:rsidRPr="00577C42">
        <w:rPr>
          <w:color w:val="auto"/>
        </w:rPr>
        <w:t xml:space="preserve"> </w:t>
      </w:r>
      <w:r w:rsidR="00FA1C78" w:rsidRPr="00C032D3">
        <w:rPr>
          <w:color w:val="auto"/>
        </w:rPr>
        <w:t>2011</w:t>
      </w:r>
      <w:r w:rsidRPr="00577C42">
        <w:rPr>
          <w:color w:val="auto"/>
        </w:rPr>
        <w:t xml:space="preserve">). </w:t>
      </w:r>
      <w:r w:rsidR="00577CE6" w:rsidRPr="00577C42">
        <w:rPr>
          <w:color w:val="auto"/>
        </w:rPr>
        <w:t xml:space="preserve">In general, MEAs support environmental </w:t>
      </w:r>
      <w:r w:rsidR="00FA1C78" w:rsidRPr="00C032D3">
        <w:rPr>
          <w:color w:val="auto"/>
        </w:rPr>
        <w:t>decision-making</w:t>
      </w:r>
      <w:r w:rsidR="00577CE6" w:rsidRPr="00577C42">
        <w:rPr>
          <w:color w:val="auto"/>
        </w:rPr>
        <w:t xml:space="preserve"> </w:t>
      </w:r>
      <w:r w:rsidR="00C62636" w:rsidRPr="00577C42">
        <w:rPr>
          <w:color w:val="auto"/>
        </w:rPr>
        <w:t xml:space="preserve">at </w:t>
      </w:r>
      <w:r w:rsidR="00577CE6" w:rsidRPr="00577C42">
        <w:rPr>
          <w:color w:val="auto"/>
        </w:rPr>
        <w:t>the national level</w:t>
      </w:r>
      <w:r w:rsidR="00C62636" w:rsidRPr="00577C42">
        <w:rPr>
          <w:color w:val="auto"/>
        </w:rPr>
        <w:t>;</w:t>
      </w:r>
      <w:r w:rsidR="00577CE6" w:rsidRPr="00577C42">
        <w:rPr>
          <w:color w:val="auto"/>
        </w:rPr>
        <w:t xml:space="preserve"> however, coherence and interaction remain a challenge. </w:t>
      </w:r>
      <w:r w:rsidRPr="00577C42">
        <w:rPr>
          <w:color w:val="auto"/>
        </w:rPr>
        <w:t xml:space="preserve">Institutional interaction may be distinguished in terms of horizontal </w:t>
      </w:r>
      <w:r w:rsidR="00D57EF8" w:rsidRPr="00577C42">
        <w:rPr>
          <w:color w:val="auto"/>
        </w:rPr>
        <w:t>(</w:t>
      </w:r>
      <w:r w:rsidR="00477162" w:rsidRPr="00577C42">
        <w:rPr>
          <w:color w:val="auto"/>
        </w:rPr>
        <w:t xml:space="preserve">i.e. </w:t>
      </w:r>
      <w:r w:rsidR="00D57EF8" w:rsidRPr="00577C42">
        <w:rPr>
          <w:color w:val="auto"/>
        </w:rPr>
        <w:t>across agencies at the same level</w:t>
      </w:r>
      <w:r w:rsidR="00477162" w:rsidRPr="00577C42">
        <w:rPr>
          <w:color w:val="auto"/>
        </w:rPr>
        <w:t xml:space="preserve">) </w:t>
      </w:r>
      <w:r w:rsidRPr="00577C42">
        <w:rPr>
          <w:color w:val="auto"/>
        </w:rPr>
        <w:t xml:space="preserve">and vertical </w:t>
      </w:r>
      <w:r w:rsidR="00477162" w:rsidRPr="00577C42">
        <w:rPr>
          <w:color w:val="auto"/>
        </w:rPr>
        <w:t xml:space="preserve">(i.e. from international down to local government levels) </w:t>
      </w:r>
      <w:r w:rsidRPr="00577C42">
        <w:rPr>
          <w:color w:val="auto"/>
        </w:rPr>
        <w:t xml:space="preserve">interplay (Young </w:t>
      </w:r>
      <w:r w:rsidR="00FA1C78" w:rsidRPr="00C032D3">
        <w:rPr>
          <w:color w:val="auto"/>
        </w:rPr>
        <w:t>2002</w:t>
      </w:r>
      <w:r w:rsidR="00C62636" w:rsidRPr="00577C42">
        <w:rPr>
          <w:color w:val="auto"/>
        </w:rPr>
        <w:t>;</w:t>
      </w:r>
      <w:r w:rsidRPr="00577C42">
        <w:rPr>
          <w:color w:val="auto"/>
        </w:rPr>
        <w:t xml:space="preserve"> </w:t>
      </w:r>
      <w:r w:rsidR="00C62636" w:rsidRPr="00577C42">
        <w:rPr>
          <w:color w:val="auto"/>
        </w:rPr>
        <w:t xml:space="preserve">Young </w:t>
      </w:r>
      <w:r w:rsidR="00FA1C78" w:rsidRPr="00C032D3">
        <w:rPr>
          <w:color w:val="auto"/>
        </w:rPr>
        <w:t>2006</w:t>
      </w:r>
      <w:r w:rsidRPr="00577C42">
        <w:rPr>
          <w:color w:val="auto"/>
        </w:rPr>
        <w:t xml:space="preserve">). It can also be distinguished in terms of functional interactions, when problems addressed by two or more institutions are linked in </w:t>
      </w:r>
      <w:r w:rsidR="00060453" w:rsidRPr="00577C42">
        <w:rPr>
          <w:color w:val="auto"/>
        </w:rPr>
        <w:t xml:space="preserve">spatial, </w:t>
      </w:r>
      <w:r w:rsidRPr="00577C42">
        <w:rPr>
          <w:color w:val="auto"/>
        </w:rPr>
        <w:t>bio</w:t>
      </w:r>
      <w:r w:rsidR="00477162" w:rsidRPr="00577C42">
        <w:rPr>
          <w:color w:val="auto"/>
        </w:rPr>
        <w:t>-</w:t>
      </w:r>
      <w:r w:rsidRPr="00577C42">
        <w:rPr>
          <w:color w:val="auto"/>
        </w:rPr>
        <w:t>geophysical or socio</w:t>
      </w:r>
      <w:r w:rsidR="00C62636" w:rsidRPr="00577C42">
        <w:rPr>
          <w:color w:val="auto"/>
        </w:rPr>
        <w:t>-</w:t>
      </w:r>
      <w:r w:rsidRPr="00577C42">
        <w:rPr>
          <w:color w:val="auto"/>
        </w:rPr>
        <w:t>economic terms. In this case, the operation of one institution directly influences the effectiveness of another (</w:t>
      </w:r>
      <w:proofErr w:type="spellStart"/>
      <w:r w:rsidRPr="00577C42">
        <w:rPr>
          <w:color w:val="auto"/>
        </w:rPr>
        <w:t>Adger</w:t>
      </w:r>
      <w:proofErr w:type="spellEnd"/>
      <w:r w:rsidR="002E1FA5" w:rsidRPr="00577C42">
        <w:rPr>
          <w:color w:val="auto"/>
        </w:rPr>
        <w:t xml:space="preserve">, Brown and Tompkins </w:t>
      </w:r>
      <w:r w:rsidR="00FA1C78" w:rsidRPr="00C032D3">
        <w:rPr>
          <w:color w:val="auto"/>
        </w:rPr>
        <w:t>2005</w:t>
      </w:r>
      <w:r w:rsidRPr="00577C42">
        <w:rPr>
          <w:color w:val="auto"/>
        </w:rPr>
        <w:t xml:space="preserve">; Young </w:t>
      </w:r>
      <w:r w:rsidR="00FA1C78" w:rsidRPr="00C032D3">
        <w:rPr>
          <w:color w:val="auto"/>
        </w:rPr>
        <w:t>2002</w:t>
      </w:r>
      <w:r w:rsidR="00C62636" w:rsidRPr="00577C42">
        <w:rPr>
          <w:color w:val="auto"/>
        </w:rPr>
        <w:t>;</w:t>
      </w:r>
      <w:r w:rsidRPr="00577C42">
        <w:rPr>
          <w:color w:val="auto"/>
        </w:rPr>
        <w:t xml:space="preserve"> </w:t>
      </w:r>
      <w:r w:rsidR="00C62636" w:rsidRPr="00577C42">
        <w:rPr>
          <w:color w:val="auto"/>
        </w:rPr>
        <w:t xml:space="preserve">Young </w:t>
      </w:r>
      <w:r w:rsidR="00FA1C78" w:rsidRPr="00C032D3">
        <w:rPr>
          <w:color w:val="auto"/>
        </w:rPr>
        <w:t>2006</w:t>
      </w:r>
      <w:r w:rsidRPr="00577C42">
        <w:rPr>
          <w:color w:val="auto"/>
        </w:rPr>
        <w:t xml:space="preserve">). Interplay </w:t>
      </w:r>
      <w:r w:rsidR="006C7971">
        <w:rPr>
          <w:color w:val="auto"/>
        </w:rPr>
        <w:t xml:space="preserve">can also be influenced by </w:t>
      </w:r>
      <w:r w:rsidRPr="00577C42">
        <w:rPr>
          <w:color w:val="auto"/>
        </w:rPr>
        <w:t xml:space="preserve">political linkages, when actors create links between institutions to advance individual or collective goals (Young </w:t>
      </w:r>
      <w:r w:rsidR="00FA1C78" w:rsidRPr="00C032D3">
        <w:rPr>
          <w:color w:val="auto"/>
        </w:rPr>
        <w:t>2002</w:t>
      </w:r>
      <w:r w:rsidR="00C62636" w:rsidRPr="00577C42">
        <w:rPr>
          <w:color w:val="auto"/>
        </w:rPr>
        <w:t>;</w:t>
      </w:r>
      <w:r w:rsidRPr="00577C42">
        <w:rPr>
          <w:color w:val="auto"/>
        </w:rPr>
        <w:t xml:space="preserve"> </w:t>
      </w:r>
      <w:r w:rsidR="00C62636" w:rsidRPr="00577C42">
        <w:rPr>
          <w:color w:val="auto"/>
        </w:rPr>
        <w:t xml:space="preserve">Young </w:t>
      </w:r>
      <w:r w:rsidR="00FA1C78" w:rsidRPr="00C032D3">
        <w:rPr>
          <w:color w:val="auto"/>
        </w:rPr>
        <w:t>2006</w:t>
      </w:r>
      <w:r w:rsidRPr="00577C42">
        <w:rPr>
          <w:color w:val="auto"/>
        </w:rPr>
        <w:t>).</w:t>
      </w:r>
      <w:r w:rsidR="00BF0F44" w:rsidRPr="00577C42">
        <w:rPr>
          <w:color w:val="auto"/>
        </w:rPr>
        <w:t xml:space="preserve"> It also opens options for forum shopping </w:t>
      </w:r>
      <w:r w:rsidR="00477162" w:rsidRPr="00577C42">
        <w:rPr>
          <w:color w:val="auto"/>
        </w:rPr>
        <w:t xml:space="preserve">(i.e. trying to find an institutional arrangement that gives maximum benefit </w:t>
      </w:r>
      <w:r w:rsidR="00C62636" w:rsidRPr="00577C42">
        <w:rPr>
          <w:color w:val="auto"/>
        </w:rPr>
        <w:t xml:space="preserve">to </w:t>
      </w:r>
      <w:r w:rsidR="00477162" w:rsidRPr="00577C42">
        <w:rPr>
          <w:color w:val="auto"/>
        </w:rPr>
        <w:t xml:space="preserve">an individual or collective) </w:t>
      </w:r>
      <w:r w:rsidR="00DD5B53" w:rsidRPr="00577C42">
        <w:rPr>
          <w:color w:val="auto"/>
        </w:rPr>
        <w:t xml:space="preserve">(Gehring and </w:t>
      </w:r>
      <w:proofErr w:type="spellStart"/>
      <w:r w:rsidR="00DD5B53" w:rsidRPr="00577C42">
        <w:rPr>
          <w:color w:val="auto"/>
        </w:rPr>
        <w:t>Oberth</w:t>
      </w:r>
      <w:r w:rsidR="002E1FA5" w:rsidRPr="00577C42">
        <w:rPr>
          <w:color w:val="auto"/>
        </w:rPr>
        <w:t>ü</w:t>
      </w:r>
      <w:r w:rsidR="00DD5B53" w:rsidRPr="00577C42">
        <w:rPr>
          <w:color w:val="auto"/>
        </w:rPr>
        <w:t>r</w:t>
      </w:r>
      <w:proofErr w:type="spellEnd"/>
      <w:r w:rsidR="00DD5B53" w:rsidRPr="00577C42">
        <w:rPr>
          <w:color w:val="auto"/>
        </w:rPr>
        <w:t xml:space="preserve"> </w:t>
      </w:r>
      <w:r w:rsidR="00FA1C78" w:rsidRPr="00C032D3">
        <w:rPr>
          <w:color w:val="auto"/>
        </w:rPr>
        <w:t>2009</w:t>
      </w:r>
      <w:r w:rsidR="00DD5B53" w:rsidRPr="00577C42">
        <w:rPr>
          <w:color w:val="auto"/>
        </w:rPr>
        <w:t>).</w:t>
      </w:r>
    </w:p>
    <w:p w14:paraId="135DCFCE" w14:textId="61EFB96D" w:rsidR="00FA1C78" w:rsidRPr="00577C42" w:rsidRDefault="008816C2" w:rsidP="00086545">
      <w:pPr>
        <w:rPr>
          <w:color w:val="auto"/>
        </w:rPr>
      </w:pPr>
      <w:r w:rsidRPr="00577C42">
        <w:rPr>
          <w:color w:val="auto"/>
        </w:rPr>
        <w:t>Interplay is likely to produce tensions between and among institutions</w:t>
      </w:r>
      <w:r w:rsidR="00C62636" w:rsidRPr="00577C42">
        <w:rPr>
          <w:color w:val="auto"/>
        </w:rPr>
        <w:t>.</w:t>
      </w:r>
      <w:r w:rsidR="00060453" w:rsidRPr="00577C42">
        <w:rPr>
          <w:color w:val="auto"/>
        </w:rPr>
        <w:t xml:space="preserve"> </w:t>
      </w:r>
      <w:r w:rsidRPr="00577C42">
        <w:rPr>
          <w:color w:val="auto"/>
        </w:rPr>
        <w:t xml:space="preserve">however, it is </w:t>
      </w:r>
      <w:r w:rsidR="00477162" w:rsidRPr="00577C42">
        <w:rPr>
          <w:color w:val="auto"/>
        </w:rPr>
        <w:t xml:space="preserve">equally </w:t>
      </w:r>
      <w:r w:rsidRPr="00577C42">
        <w:rPr>
          <w:color w:val="auto"/>
        </w:rPr>
        <w:t xml:space="preserve">likely to result in positive or synergistic interaction. In case of tensions, these may be resolved through negotiation entailing compromises ensuring, however, that the institutions involved can operate without disproportionately affecting </w:t>
      </w:r>
      <w:r w:rsidR="00C62636" w:rsidRPr="00577C42">
        <w:rPr>
          <w:color w:val="auto"/>
        </w:rPr>
        <w:t xml:space="preserve">each other’s </w:t>
      </w:r>
      <w:r w:rsidRPr="00577C42">
        <w:rPr>
          <w:color w:val="auto"/>
        </w:rPr>
        <w:t xml:space="preserve">ability to address the problems they were designed to address (Young </w:t>
      </w:r>
      <w:r w:rsidR="00FA1C78" w:rsidRPr="00C032D3">
        <w:rPr>
          <w:color w:val="auto"/>
        </w:rPr>
        <w:t>2011</w:t>
      </w:r>
      <w:r w:rsidRPr="00577C42">
        <w:rPr>
          <w:color w:val="auto"/>
        </w:rPr>
        <w:t>). The notion of interplay may provide relevant entry points to efforts aiming to improve horizontal and vertical integration.</w:t>
      </w:r>
    </w:p>
    <w:p w14:paraId="488717C9" w14:textId="2073B027" w:rsidR="00FA1C78" w:rsidRPr="00577C42" w:rsidRDefault="008816C2" w:rsidP="00086545">
      <w:pPr>
        <w:rPr>
          <w:color w:val="auto"/>
        </w:rPr>
      </w:pPr>
      <w:r w:rsidRPr="00577C42">
        <w:rPr>
          <w:color w:val="auto"/>
        </w:rPr>
        <w:t xml:space="preserve">As the 17 SDGs are intended to be fully integrated and universal, several countries are now grappling with the </w:t>
      </w:r>
      <w:r w:rsidR="00C62636" w:rsidRPr="00577C42">
        <w:rPr>
          <w:color w:val="auto"/>
        </w:rPr>
        <w:t xml:space="preserve">task </w:t>
      </w:r>
      <w:r w:rsidRPr="00577C42">
        <w:rPr>
          <w:color w:val="auto"/>
        </w:rPr>
        <w:t xml:space="preserve">of </w:t>
      </w:r>
      <w:r w:rsidR="00C62636" w:rsidRPr="00577C42">
        <w:rPr>
          <w:color w:val="auto"/>
        </w:rPr>
        <w:t xml:space="preserve">devising </w:t>
      </w:r>
      <w:r w:rsidRPr="00577C42">
        <w:rPr>
          <w:color w:val="auto"/>
        </w:rPr>
        <w:t>the most effective institutional arrangement</w:t>
      </w:r>
      <w:r w:rsidR="006C7971">
        <w:rPr>
          <w:color w:val="auto"/>
        </w:rPr>
        <w:t>s</w:t>
      </w:r>
      <w:r w:rsidRPr="00577C42">
        <w:rPr>
          <w:color w:val="auto"/>
        </w:rPr>
        <w:t xml:space="preserve"> </w:t>
      </w:r>
      <w:r w:rsidRPr="00577C42">
        <w:rPr>
          <w:color w:val="auto"/>
        </w:rPr>
        <w:lastRenderedPageBreak/>
        <w:t>to address the desired vertical and horizontal integration.</w:t>
      </w:r>
      <w:r w:rsidR="00FA1C78" w:rsidRPr="00C032D3">
        <w:rPr>
          <w:color w:val="auto"/>
        </w:rPr>
        <w:t xml:space="preserve"> </w:t>
      </w:r>
      <w:r w:rsidRPr="00577C42">
        <w:rPr>
          <w:color w:val="auto"/>
        </w:rPr>
        <w:t xml:space="preserve">The </w:t>
      </w:r>
      <w:r w:rsidR="00FA1C78" w:rsidRPr="00C032D3">
        <w:rPr>
          <w:color w:val="auto"/>
        </w:rPr>
        <w:t>2017</w:t>
      </w:r>
      <w:r w:rsidRPr="00577C42">
        <w:rPr>
          <w:color w:val="auto"/>
        </w:rPr>
        <w:t xml:space="preserve"> synthesis of the Voluntary National Reports submitted to date found that only about one</w:t>
      </w:r>
      <w:r w:rsidR="00C62636" w:rsidRPr="00577C42">
        <w:rPr>
          <w:color w:val="auto"/>
        </w:rPr>
        <w:t xml:space="preserve"> </w:t>
      </w:r>
      <w:r w:rsidRPr="00577C42">
        <w:rPr>
          <w:color w:val="auto"/>
        </w:rPr>
        <w:t>third of countries were addressing all the SDGs (</w:t>
      </w:r>
      <w:r w:rsidR="00B901BD">
        <w:rPr>
          <w:color w:val="auto"/>
        </w:rPr>
        <w:t>United Nations</w:t>
      </w:r>
      <w:r w:rsidRPr="00577C42">
        <w:rPr>
          <w:color w:val="auto"/>
        </w:rPr>
        <w:t xml:space="preserve"> </w:t>
      </w:r>
      <w:r w:rsidR="00FA1C78" w:rsidRPr="00C032D3">
        <w:rPr>
          <w:color w:val="auto"/>
        </w:rPr>
        <w:t>2017</w:t>
      </w:r>
      <w:r w:rsidRPr="00577C42">
        <w:rPr>
          <w:color w:val="auto"/>
        </w:rPr>
        <w:t>), but almost all had put in place some relevant institutional arrangements.</w:t>
      </w:r>
    </w:p>
    <w:p w14:paraId="22CE7FDB" w14:textId="77777777" w:rsidR="00FA1C78" w:rsidRPr="00577C42" w:rsidRDefault="008816C2" w:rsidP="00086545">
      <w:pPr>
        <w:rPr>
          <w:color w:val="auto"/>
        </w:rPr>
      </w:pPr>
      <w:r w:rsidRPr="00577C42">
        <w:rPr>
          <w:color w:val="auto"/>
        </w:rPr>
        <w:t>Some examples of institutional approaches for horizontal integration include the following:</w:t>
      </w:r>
    </w:p>
    <w:p w14:paraId="113BCD7E" w14:textId="77777777" w:rsidR="00FA1C78" w:rsidRPr="00577C42" w:rsidRDefault="008816C2" w:rsidP="00086545">
      <w:pPr>
        <w:pStyle w:val="ListParagraph"/>
        <w:numPr>
          <w:ilvl w:val="0"/>
          <w:numId w:val="2"/>
        </w:numPr>
        <w:rPr>
          <w:color w:val="auto"/>
        </w:rPr>
      </w:pPr>
      <w:r w:rsidRPr="00577C42">
        <w:rPr>
          <w:color w:val="auto"/>
        </w:rPr>
        <w:t>Mongolia initially created a Ministry of Environment and Green Development, recently amended to Ministry of Environment and Tourism.</w:t>
      </w:r>
      <w:r w:rsidR="00FA1C78" w:rsidRPr="00C032D3">
        <w:rPr>
          <w:color w:val="auto"/>
        </w:rPr>
        <w:t xml:space="preserve"> </w:t>
      </w:r>
      <w:r w:rsidRPr="00577C42">
        <w:rPr>
          <w:color w:val="auto"/>
        </w:rPr>
        <w:t>The Ministry chairs a coordination committee for green development.</w:t>
      </w:r>
    </w:p>
    <w:p w14:paraId="0939455C" w14:textId="77777777" w:rsidR="00FA1C78" w:rsidRPr="00577C42" w:rsidRDefault="008816C2" w:rsidP="00086545">
      <w:pPr>
        <w:pStyle w:val="ListParagraph"/>
        <w:numPr>
          <w:ilvl w:val="0"/>
          <w:numId w:val="2"/>
        </w:numPr>
        <w:rPr>
          <w:color w:val="auto"/>
        </w:rPr>
      </w:pPr>
      <w:r w:rsidRPr="00577C42">
        <w:rPr>
          <w:color w:val="auto"/>
        </w:rPr>
        <w:t>Sri Lanka placed responsibility for the SDGs under the Office of the President, who chairs the National Council on Sustainable Development.</w:t>
      </w:r>
    </w:p>
    <w:p w14:paraId="6F45672C" w14:textId="77777777" w:rsidR="00FA1C78" w:rsidRPr="00577C42" w:rsidRDefault="008816C2" w:rsidP="00086545">
      <w:pPr>
        <w:pStyle w:val="ListParagraph"/>
        <w:numPr>
          <w:ilvl w:val="0"/>
          <w:numId w:val="2"/>
        </w:numPr>
        <w:rPr>
          <w:color w:val="auto"/>
        </w:rPr>
      </w:pPr>
      <w:r w:rsidRPr="00577C42">
        <w:rPr>
          <w:color w:val="auto"/>
        </w:rPr>
        <w:t>Afghanistan has an existing High Council of Ministers which now supervises the nationalization of the SDGs and allocation of budgets against the targets and indicators.</w:t>
      </w:r>
    </w:p>
    <w:p w14:paraId="385FC25E" w14:textId="040C522C" w:rsidR="00FA1C78" w:rsidRPr="00577C42" w:rsidRDefault="008816C2" w:rsidP="00086545">
      <w:pPr>
        <w:pStyle w:val="ListParagraph"/>
        <w:numPr>
          <w:ilvl w:val="0"/>
          <w:numId w:val="2"/>
        </w:numPr>
        <w:rPr>
          <w:color w:val="auto"/>
        </w:rPr>
      </w:pPr>
      <w:r w:rsidRPr="00577C42">
        <w:rPr>
          <w:color w:val="auto"/>
        </w:rPr>
        <w:t xml:space="preserve">Costa Rica established a High-level SDG Council, jointly chaired by the President and </w:t>
      </w:r>
      <w:r w:rsidR="00C62636" w:rsidRPr="00C032D3">
        <w:rPr>
          <w:color w:val="auto"/>
        </w:rPr>
        <w:t>three </w:t>
      </w:r>
      <w:r w:rsidR="00FA1C78" w:rsidRPr="00C032D3">
        <w:rPr>
          <w:color w:val="auto"/>
        </w:rPr>
        <w:t>k</w:t>
      </w:r>
      <w:r w:rsidRPr="00577C42">
        <w:rPr>
          <w:color w:val="auto"/>
        </w:rPr>
        <w:t>ey ministers.</w:t>
      </w:r>
    </w:p>
    <w:p w14:paraId="2A6381BA" w14:textId="1B8BF49C" w:rsidR="00FA1C78" w:rsidRPr="00577C42" w:rsidRDefault="008816C2" w:rsidP="00086545">
      <w:pPr>
        <w:pStyle w:val="ListParagraph"/>
        <w:numPr>
          <w:ilvl w:val="0"/>
          <w:numId w:val="2"/>
        </w:numPr>
        <w:rPr>
          <w:color w:val="auto"/>
        </w:rPr>
      </w:pPr>
      <w:r w:rsidRPr="00577C42">
        <w:rPr>
          <w:color w:val="auto"/>
        </w:rPr>
        <w:t xml:space="preserve">Nigeria established a Presidential Committee on </w:t>
      </w:r>
      <w:r w:rsidR="00C62636" w:rsidRPr="00577C42">
        <w:rPr>
          <w:color w:val="auto"/>
        </w:rPr>
        <w:t xml:space="preserve">the </w:t>
      </w:r>
      <w:r w:rsidRPr="00577C42">
        <w:rPr>
          <w:color w:val="auto"/>
        </w:rPr>
        <w:t xml:space="preserve">SDGs and created the post of Senior Special Assistant to the President on </w:t>
      </w:r>
      <w:r w:rsidR="00C62636" w:rsidRPr="00577C42">
        <w:rPr>
          <w:color w:val="auto"/>
        </w:rPr>
        <w:t xml:space="preserve">the </w:t>
      </w:r>
      <w:r w:rsidRPr="00577C42">
        <w:rPr>
          <w:color w:val="auto"/>
        </w:rPr>
        <w:t>SDGs.</w:t>
      </w:r>
    </w:p>
    <w:p w14:paraId="5A20D679" w14:textId="77777777" w:rsidR="00FA1C78" w:rsidRPr="00577C42" w:rsidRDefault="008816C2" w:rsidP="00086545">
      <w:pPr>
        <w:pStyle w:val="ListParagraph"/>
        <w:numPr>
          <w:ilvl w:val="0"/>
          <w:numId w:val="2"/>
        </w:numPr>
        <w:rPr>
          <w:color w:val="auto"/>
        </w:rPr>
      </w:pPr>
      <w:r w:rsidRPr="00577C42">
        <w:rPr>
          <w:color w:val="auto"/>
        </w:rPr>
        <w:t>Bangladesh formed an inter-ministerial SDG monitoring and implementation committee, involving 21 ministries.</w:t>
      </w:r>
    </w:p>
    <w:p w14:paraId="11A49273" w14:textId="77777777" w:rsidR="00FA1C78" w:rsidRPr="00577C42" w:rsidRDefault="008816C2" w:rsidP="00086545">
      <w:pPr>
        <w:pStyle w:val="ListParagraph"/>
        <w:numPr>
          <w:ilvl w:val="0"/>
          <w:numId w:val="2"/>
        </w:numPr>
        <w:rPr>
          <w:color w:val="auto"/>
        </w:rPr>
      </w:pPr>
      <w:r w:rsidRPr="00577C42">
        <w:rPr>
          <w:color w:val="auto"/>
        </w:rPr>
        <w:t>Belarus has a National Coordinator for the Achievement of the SDGs, chairing the National Council for Sustainable Development, comprising 30 agencies.</w:t>
      </w:r>
    </w:p>
    <w:p w14:paraId="555598FC" w14:textId="77777777" w:rsidR="00FA1C78" w:rsidRPr="00577C42" w:rsidRDefault="008816C2" w:rsidP="00086545">
      <w:pPr>
        <w:pStyle w:val="ListParagraph"/>
        <w:numPr>
          <w:ilvl w:val="0"/>
          <w:numId w:val="2"/>
        </w:numPr>
        <w:rPr>
          <w:color w:val="auto"/>
        </w:rPr>
      </w:pPr>
      <w:r w:rsidRPr="00577C42">
        <w:rPr>
          <w:color w:val="auto"/>
        </w:rPr>
        <w:t>Botswana has a National Steering Committee that includes the United Nations and all stakeholder groups.</w:t>
      </w:r>
    </w:p>
    <w:p w14:paraId="7C64AFF8" w14:textId="67B91635" w:rsidR="00FA1C78" w:rsidRPr="00577C42" w:rsidRDefault="008816C2" w:rsidP="00086545">
      <w:pPr>
        <w:pStyle w:val="ListParagraph"/>
        <w:numPr>
          <w:ilvl w:val="0"/>
          <w:numId w:val="2"/>
        </w:numPr>
        <w:rPr>
          <w:color w:val="auto"/>
        </w:rPr>
      </w:pPr>
      <w:r w:rsidRPr="00577C42">
        <w:rPr>
          <w:color w:val="auto"/>
        </w:rPr>
        <w:t xml:space="preserve">The Czech Republic has a Government Council for Sustainable Development, which includes </w:t>
      </w:r>
      <w:r w:rsidR="00C62636" w:rsidRPr="00577C42">
        <w:rPr>
          <w:color w:val="auto"/>
        </w:rPr>
        <w:t>nine</w:t>
      </w:r>
      <w:r w:rsidRPr="00577C42">
        <w:rPr>
          <w:color w:val="auto"/>
        </w:rPr>
        <w:t xml:space="preserve"> thematic committees.</w:t>
      </w:r>
    </w:p>
    <w:p w14:paraId="20C7BCCF" w14:textId="4295E03F" w:rsidR="00FA1C78" w:rsidRPr="00577C42" w:rsidRDefault="008816C2" w:rsidP="00086545">
      <w:pPr>
        <w:pStyle w:val="ListParagraph"/>
        <w:numPr>
          <w:ilvl w:val="0"/>
          <w:numId w:val="2"/>
        </w:numPr>
        <w:rPr>
          <w:color w:val="auto"/>
        </w:rPr>
      </w:pPr>
      <w:r w:rsidRPr="00577C42">
        <w:rPr>
          <w:color w:val="auto"/>
        </w:rPr>
        <w:t>Japan established the SDG Promotion Headquarters as a cabinet-level body headed by the Prime Minister.</w:t>
      </w:r>
    </w:p>
    <w:p w14:paraId="18F5651A" w14:textId="77777777" w:rsidR="00FA1C78" w:rsidRPr="00577C42" w:rsidRDefault="008816C2" w:rsidP="00086545">
      <w:pPr>
        <w:pStyle w:val="ListParagraph"/>
        <w:numPr>
          <w:ilvl w:val="0"/>
          <w:numId w:val="2"/>
        </w:numPr>
        <w:rPr>
          <w:color w:val="auto"/>
        </w:rPr>
      </w:pPr>
      <w:r w:rsidRPr="00577C42">
        <w:rPr>
          <w:color w:val="auto"/>
        </w:rPr>
        <w:t>Denmark has an inter-ministerial SDG working group coordinated by the Ministry of Finance.</w:t>
      </w:r>
    </w:p>
    <w:p w14:paraId="1D7A5BD4" w14:textId="77777777" w:rsidR="00FA1C78" w:rsidRPr="00577C42" w:rsidRDefault="008816C2" w:rsidP="00086545">
      <w:pPr>
        <w:rPr>
          <w:color w:val="auto"/>
        </w:rPr>
      </w:pPr>
      <w:r w:rsidRPr="00577C42">
        <w:rPr>
          <w:color w:val="auto"/>
        </w:rPr>
        <w:t>Examples of vertical integration include the following:</w:t>
      </w:r>
    </w:p>
    <w:p w14:paraId="164BF11A" w14:textId="51459DDB" w:rsidR="00FA1C78" w:rsidRPr="00577C42" w:rsidRDefault="008816C2" w:rsidP="00086545">
      <w:pPr>
        <w:pStyle w:val="ListParagraph"/>
        <w:numPr>
          <w:ilvl w:val="0"/>
          <w:numId w:val="3"/>
        </w:numPr>
        <w:rPr>
          <w:color w:val="auto"/>
        </w:rPr>
      </w:pPr>
      <w:r w:rsidRPr="00577C42">
        <w:rPr>
          <w:color w:val="auto"/>
        </w:rPr>
        <w:t>Brazil</w:t>
      </w:r>
      <w:r w:rsidR="00FA1C78" w:rsidRPr="00577C42">
        <w:rPr>
          <w:color w:val="auto"/>
        </w:rPr>
        <w:t>’</w:t>
      </w:r>
      <w:r w:rsidRPr="00577C42">
        <w:rPr>
          <w:color w:val="auto"/>
        </w:rPr>
        <w:t>s National Commission for the SDGs comprises 27 representatives from federal, state, district and municipal governments, and civil society.</w:t>
      </w:r>
    </w:p>
    <w:p w14:paraId="44B9F784" w14:textId="0AC8A76F" w:rsidR="00FA1C78" w:rsidRPr="00577C42" w:rsidRDefault="008816C2" w:rsidP="00086545">
      <w:pPr>
        <w:pStyle w:val="ListParagraph"/>
        <w:numPr>
          <w:ilvl w:val="0"/>
          <w:numId w:val="3"/>
        </w:numPr>
        <w:rPr>
          <w:color w:val="auto"/>
        </w:rPr>
      </w:pPr>
      <w:r w:rsidRPr="00577C42">
        <w:rPr>
          <w:color w:val="auto"/>
        </w:rPr>
        <w:t>Belgium</w:t>
      </w:r>
      <w:r w:rsidR="00FA1C78" w:rsidRPr="00577C42">
        <w:rPr>
          <w:color w:val="auto"/>
        </w:rPr>
        <w:t>’</w:t>
      </w:r>
      <w:r w:rsidRPr="00577C42">
        <w:rPr>
          <w:color w:val="auto"/>
        </w:rPr>
        <w:t>s Inter-Ministerial Conference for Sustainable Development comprises federal, regional and community ministers responsible for sustainable development.</w:t>
      </w:r>
    </w:p>
    <w:p w14:paraId="43041010" w14:textId="77777777" w:rsidR="00FA1C78" w:rsidRPr="00577C42" w:rsidRDefault="008816C2" w:rsidP="00086545">
      <w:pPr>
        <w:pStyle w:val="ListParagraph"/>
        <w:numPr>
          <w:ilvl w:val="0"/>
          <w:numId w:val="3"/>
        </w:numPr>
        <w:rPr>
          <w:color w:val="auto"/>
        </w:rPr>
      </w:pPr>
      <w:r w:rsidRPr="00577C42">
        <w:rPr>
          <w:color w:val="auto"/>
        </w:rPr>
        <w:t>India has created a National Institution for Transforming India, chaired by the Prime Minister.</w:t>
      </w:r>
    </w:p>
    <w:p w14:paraId="14D9DC98" w14:textId="77777777" w:rsidR="00FA1C78" w:rsidRPr="00577C42" w:rsidRDefault="008816C2" w:rsidP="00086545">
      <w:pPr>
        <w:pStyle w:val="ListParagraph"/>
        <w:numPr>
          <w:ilvl w:val="0"/>
          <w:numId w:val="3"/>
        </w:numPr>
        <w:rPr>
          <w:color w:val="auto"/>
        </w:rPr>
      </w:pPr>
      <w:r w:rsidRPr="00577C42">
        <w:rPr>
          <w:color w:val="auto"/>
        </w:rPr>
        <w:t>The Local Government Authority of the Maldives has aligned its five-year development plan, implemented by island councils, with the SDGs.</w:t>
      </w:r>
    </w:p>
    <w:p w14:paraId="5CCB6F1A" w14:textId="77777777" w:rsidR="00FA1C78" w:rsidRPr="00577C42" w:rsidRDefault="008816C2" w:rsidP="00086545">
      <w:pPr>
        <w:pStyle w:val="ListParagraph"/>
        <w:numPr>
          <w:ilvl w:val="0"/>
          <w:numId w:val="3"/>
        </w:numPr>
        <w:rPr>
          <w:color w:val="auto"/>
        </w:rPr>
      </w:pPr>
      <w:r w:rsidRPr="00577C42">
        <w:rPr>
          <w:color w:val="auto"/>
        </w:rPr>
        <w:lastRenderedPageBreak/>
        <w:t>Ethiopia has a Growth and Transformation Plan for implementation of the SDGs, with annual reports to a Standing Committee of Parliament.</w:t>
      </w:r>
    </w:p>
    <w:p w14:paraId="3AF6493D" w14:textId="4ECBF8EF" w:rsidR="00FA1C78" w:rsidRPr="00577C42" w:rsidRDefault="008816C2" w:rsidP="00086545">
      <w:pPr>
        <w:rPr>
          <w:color w:val="auto"/>
        </w:rPr>
      </w:pPr>
      <w:r w:rsidRPr="00577C42">
        <w:rPr>
          <w:color w:val="auto"/>
        </w:rPr>
        <w:t>Among others, Afghanistan, Argentina, Bangladesh, Belize, Benin, Botswana, Brazil, Chile, Costa Rica, the Czech Republic, Honduras, Kenya, Malaysia, Maldives, Nepal, Peru, Thailand and Zimbabwe have explicitly incorporated stakeholder engagement in their SDG institutional arrangements.</w:t>
      </w:r>
    </w:p>
    <w:p w14:paraId="02720EA9" w14:textId="563A23E6" w:rsidR="00FA1C78" w:rsidRPr="00577C42" w:rsidRDefault="008816C2" w:rsidP="00086545">
      <w:pPr>
        <w:rPr>
          <w:color w:val="auto"/>
        </w:rPr>
      </w:pPr>
      <w:r w:rsidRPr="00577C42">
        <w:rPr>
          <w:color w:val="auto"/>
        </w:rPr>
        <w:t>A pertinent question, given this wide range of institutional arrangements, is whether the lessons learned from previous attempts at institutional integration arrangements have been learned and incorporated in</w:t>
      </w:r>
      <w:r w:rsidR="00C62636" w:rsidRPr="00577C42">
        <w:rPr>
          <w:color w:val="auto"/>
        </w:rPr>
        <w:t>to</w:t>
      </w:r>
      <w:r w:rsidRPr="00577C42">
        <w:rPr>
          <w:color w:val="auto"/>
        </w:rPr>
        <w:t xml:space="preserve"> the current </w:t>
      </w:r>
      <w:r w:rsidR="0061104C">
        <w:rPr>
          <w:color w:val="auto"/>
        </w:rPr>
        <w:t>approaches</w:t>
      </w:r>
      <w:r w:rsidRPr="00577C42">
        <w:rPr>
          <w:color w:val="auto"/>
        </w:rPr>
        <w:t>.</w:t>
      </w:r>
      <w:r w:rsidR="00477162" w:rsidRPr="00577C42">
        <w:rPr>
          <w:color w:val="auto"/>
        </w:rPr>
        <w:t xml:space="preserve"> This </w:t>
      </w:r>
      <w:r w:rsidR="0061104C">
        <w:rPr>
          <w:color w:val="auto"/>
        </w:rPr>
        <w:t xml:space="preserve">should </w:t>
      </w:r>
      <w:r w:rsidR="00477162" w:rsidRPr="00577C42">
        <w:rPr>
          <w:color w:val="auto"/>
        </w:rPr>
        <w:t xml:space="preserve">become </w:t>
      </w:r>
      <w:r w:rsidR="0061104C">
        <w:rPr>
          <w:color w:val="auto"/>
        </w:rPr>
        <w:t>more evident</w:t>
      </w:r>
      <w:r w:rsidR="0061104C" w:rsidRPr="00577C42">
        <w:rPr>
          <w:color w:val="auto"/>
        </w:rPr>
        <w:t xml:space="preserve"> </w:t>
      </w:r>
      <w:r w:rsidR="00477162" w:rsidRPr="00577C42">
        <w:rPr>
          <w:color w:val="auto"/>
        </w:rPr>
        <w:t xml:space="preserve">as more countries submit their </w:t>
      </w:r>
      <w:r w:rsidR="00E81CB6" w:rsidRPr="00577C42">
        <w:rPr>
          <w:color w:val="auto"/>
        </w:rPr>
        <w:t xml:space="preserve">Voluntary National Reviews to the </w:t>
      </w:r>
      <w:r w:rsidR="009C67D8" w:rsidRPr="00577C42">
        <w:rPr>
          <w:color w:val="auto"/>
        </w:rPr>
        <w:t>High-level Political Forum on sustainable development</w:t>
      </w:r>
      <w:r w:rsidR="00E81CB6" w:rsidRPr="00577C42">
        <w:rPr>
          <w:color w:val="auto"/>
        </w:rPr>
        <w:t>.</w:t>
      </w:r>
    </w:p>
    <w:p w14:paraId="004AC70A" w14:textId="40867D11" w:rsidR="00FA1C78" w:rsidRPr="00577C42" w:rsidRDefault="00E81CB6" w:rsidP="00086545">
      <w:pPr>
        <w:rPr>
          <w:color w:val="auto"/>
        </w:rPr>
      </w:pPr>
      <w:r w:rsidRPr="00577C42">
        <w:rPr>
          <w:color w:val="auto"/>
        </w:rPr>
        <w:t xml:space="preserve">An earlier form of horizontal integration, </w:t>
      </w:r>
      <w:r w:rsidR="008816C2" w:rsidRPr="00577C42">
        <w:rPr>
          <w:color w:val="auto"/>
        </w:rPr>
        <w:t>National Councils for Sustainable Development (NCSDs)</w:t>
      </w:r>
      <w:r w:rsidRPr="00577C42">
        <w:rPr>
          <w:color w:val="auto"/>
        </w:rPr>
        <w:t>,</w:t>
      </w:r>
      <w:r w:rsidR="008816C2" w:rsidRPr="00577C42">
        <w:rPr>
          <w:color w:val="auto"/>
        </w:rPr>
        <w:t xml:space="preserve"> came into v</w:t>
      </w:r>
      <w:r w:rsidR="00FA1C78" w:rsidRPr="00C032D3">
        <w:rPr>
          <w:color w:val="auto"/>
        </w:rPr>
        <w:t>og</w:t>
      </w:r>
      <w:r w:rsidR="00FA1C78" w:rsidRPr="00577C42">
        <w:rPr>
          <w:color w:val="auto"/>
        </w:rPr>
        <w:t>ue</w:t>
      </w:r>
      <w:r w:rsidR="008816C2" w:rsidRPr="00577C42">
        <w:rPr>
          <w:color w:val="auto"/>
        </w:rPr>
        <w:t xml:space="preserve"> following the </w:t>
      </w:r>
      <w:r w:rsidR="00FA1C78" w:rsidRPr="00C032D3">
        <w:rPr>
          <w:color w:val="auto"/>
        </w:rPr>
        <w:t>1992</w:t>
      </w:r>
      <w:r w:rsidR="008816C2" w:rsidRPr="00577C42">
        <w:rPr>
          <w:color w:val="auto"/>
        </w:rPr>
        <w:t xml:space="preserve"> United Nations Conference on Environment and Development and were strengthened by the Johannesburg Summit on Sustainable Development in </w:t>
      </w:r>
      <w:r w:rsidR="00FA1C78" w:rsidRPr="00C032D3">
        <w:rPr>
          <w:color w:val="auto"/>
        </w:rPr>
        <w:t>2002</w:t>
      </w:r>
      <w:r w:rsidR="005B0A80" w:rsidRPr="00577C42">
        <w:rPr>
          <w:color w:val="auto"/>
        </w:rPr>
        <w:t>.</w:t>
      </w:r>
      <w:r w:rsidR="008816C2" w:rsidRPr="00577C42">
        <w:rPr>
          <w:color w:val="auto"/>
        </w:rPr>
        <w:t xml:space="preserve"> </w:t>
      </w:r>
      <w:r w:rsidR="005B0A80" w:rsidRPr="00577C42">
        <w:rPr>
          <w:color w:val="auto"/>
        </w:rPr>
        <w:t>Their forms, functions and effectiveness vary considerabl</w:t>
      </w:r>
      <w:r w:rsidR="0061104C">
        <w:rPr>
          <w:color w:val="auto"/>
        </w:rPr>
        <w:t>y</w:t>
      </w:r>
      <w:r w:rsidR="005B0A80" w:rsidRPr="00577C42">
        <w:rPr>
          <w:color w:val="auto"/>
        </w:rPr>
        <w:t xml:space="preserve"> </w:t>
      </w:r>
      <w:r w:rsidR="0061104C">
        <w:rPr>
          <w:color w:val="auto"/>
        </w:rPr>
        <w:t xml:space="preserve">across </w:t>
      </w:r>
      <w:r w:rsidR="005B0A80" w:rsidRPr="00577C42">
        <w:rPr>
          <w:color w:val="auto"/>
        </w:rPr>
        <w:t xml:space="preserve">countries </w:t>
      </w:r>
      <w:r w:rsidR="008816C2" w:rsidRPr="00577C42">
        <w:rPr>
          <w:color w:val="auto"/>
        </w:rPr>
        <w:t>(Os</w:t>
      </w:r>
      <w:r w:rsidR="00FA1C78" w:rsidRPr="00C032D3">
        <w:rPr>
          <w:color w:val="auto"/>
        </w:rPr>
        <w:t>bour</w:t>
      </w:r>
      <w:r w:rsidR="008816C2" w:rsidRPr="00577C42">
        <w:rPr>
          <w:color w:val="auto"/>
        </w:rPr>
        <w:t>n</w:t>
      </w:r>
      <w:r w:rsidR="002E1FA5" w:rsidRPr="00577C42">
        <w:rPr>
          <w:color w:val="auto"/>
        </w:rPr>
        <w:t xml:space="preserve">, Cornforth and Ullah </w:t>
      </w:r>
      <w:r w:rsidR="00FA1C78" w:rsidRPr="00C032D3">
        <w:rPr>
          <w:color w:val="auto"/>
        </w:rPr>
        <w:t>2014</w:t>
      </w:r>
      <w:r w:rsidR="008816C2" w:rsidRPr="00577C42">
        <w:rPr>
          <w:color w:val="auto"/>
        </w:rPr>
        <w:t xml:space="preserve">). Following some </w:t>
      </w:r>
      <w:r w:rsidR="00FA1C78" w:rsidRPr="00577C42">
        <w:rPr>
          <w:color w:val="auto"/>
        </w:rPr>
        <w:t>progress</w:t>
      </w:r>
      <w:r w:rsidR="008816C2" w:rsidRPr="00577C42">
        <w:rPr>
          <w:color w:val="auto"/>
        </w:rPr>
        <w:t xml:space="preserve"> in implementation of the Johannesburg Plan of Implementation, the </w:t>
      </w:r>
      <w:r w:rsidR="00FA1C78" w:rsidRPr="00C032D3">
        <w:rPr>
          <w:color w:val="auto"/>
        </w:rPr>
        <w:t>2012</w:t>
      </w:r>
      <w:r w:rsidR="008816C2" w:rsidRPr="00577C42">
        <w:rPr>
          <w:color w:val="auto"/>
        </w:rPr>
        <w:t xml:space="preserve"> U</w:t>
      </w:r>
      <w:r w:rsidR="00C62636" w:rsidRPr="00577C42">
        <w:rPr>
          <w:color w:val="auto"/>
        </w:rPr>
        <w:t xml:space="preserve">nited </w:t>
      </w:r>
      <w:r w:rsidR="008816C2" w:rsidRPr="00577C42">
        <w:rPr>
          <w:color w:val="auto"/>
        </w:rPr>
        <w:t>N</w:t>
      </w:r>
      <w:r w:rsidR="00C62636" w:rsidRPr="00577C42">
        <w:rPr>
          <w:color w:val="auto"/>
        </w:rPr>
        <w:t>ations</w:t>
      </w:r>
      <w:r w:rsidR="008816C2" w:rsidRPr="00577C42">
        <w:rPr>
          <w:color w:val="auto"/>
        </w:rPr>
        <w:t xml:space="preserve"> Conference on Sustainable Development (Rio+20) launched the process that led to the SDGs (also called the post-</w:t>
      </w:r>
      <w:r w:rsidR="00FA1C78" w:rsidRPr="00C032D3">
        <w:rPr>
          <w:color w:val="auto"/>
        </w:rPr>
        <w:t>2015</w:t>
      </w:r>
      <w:r w:rsidR="008816C2" w:rsidRPr="00577C42">
        <w:rPr>
          <w:color w:val="auto"/>
        </w:rPr>
        <w:t xml:space="preserve"> development agenda).</w:t>
      </w:r>
    </w:p>
    <w:p w14:paraId="390A8320" w14:textId="2B738251" w:rsidR="00FA1C78" w:rsidRPr="00577C42" w:rsidRDefault="008816C2" w:rsidP="00086545">
      <w:pPr>
        <w:rPr>
          <w:color w:val="auto"/>
        </w:rPr>
      </w:pPr>
      <w:r w:rsidRPr="00577C42">
        <w:rPr>
          <w:color w:val="auto"/>
        </w:rPr>
        <w:t xml:space="preserve">To feed into this process, the Global Network of National Councils for Sustainable Development and similar bodies reviewed 25 years of </w:t>
      </w:r>
      <w:r w:rsidR="00C62636" w:rsidRPr="00577C42">
        <w:rPr>
          <w:color w:val="auto"/>
        </w:rPr>
        <w:t xml:space="preserve">attempts at </w:t>
      </w:r>
      <w:r w:rsidRPr="00577C42">
        <w:rPr>
          <w:color w:val="auto"/>
        </w:rPr>
        <w:t>integration</w:t>
      </w:r>
      <w:r w:rsidR="00807B4D" w:rsidRPr="00577C42">
        <w:rPr>
          <w:color w:val="auto"/>
        </w:rPr>
        <w:t>,</w:t>
      </w:r>
      <w:r w:rsidRPr="00577C42">
        <w:rPr>
          <w:color w:val="auto"/>
        </w:rPr>
        <w:t xml:space="preserve"> to draw out good </w:t>
      </w:r>
      <w:r w:rsidR="00FA1C78" w:rsidRPr="00C032D3">
        <w:rPr>
          <w:color w:val="auto"/>
        </w:rPr>
        <w:t>practice</w:t>
      </w:r>
      <w:r w:rsidRPr="00577C42">
        <w:rPr>
          <w:color w:val="auto"/>
        </w:rPr>
        <w:t xml:space="preserve"> and success factors (Os</w:t>
      </w:r>
      <w:r w:rsidR="00715AD6" w:rsidRPr="00C032D3">
        <w:rPr>
          <w:color w:val="auto"/>
        </w:rPr>
        <w:t>bo</w:t>
      </w:r>
      <w:r w:rsidR="00FA1C78" w:rsidRPr="00C032D3">
        <w:rPr>
          <w:color w:val="auto"/>
        </w:rPr>
        <w:t>r</w:t>
      </w:r>
      <w:r w:rsidRPr="00577C42">
        <w:rPr>
          <w:color w:val="auto"/>
        </w:rPr>
        <w:t>n</w:t>
      </w:r>
      <w:r w:rsidR="0027753F" w:rsidRPr="00577C42">
        <w:rPr>
          <w:color w:val="auto"/>
        </w:rPr>
        <w:t>,</w:t>
      </w:r>
      <w:r w:rsidRPr="00577C42">
        <w:rPr>
          <w:color w:val="auto"/>
        </w:rPr>
        <w:t xml:space="preserve"> </w:t>
      </w:r>
      <w:r w:rsidR="0027753F" w:rsidRPr="00577C42">
        <w:rPr>
          <w:color w:val="auto"/>
        </w:rPr>
        <w:t xml:space="preserve">Cornforth and Ullah </w:t>
      </w:r>
      <w:r w:rsidR="00FA1C78" w:rsidRPr="00C032D3">
        <w:rPr>
          <w:color w:val="auto"/>
        </w:rPr>
        <w:t>2014</w:t>
      </w:r>
      <w:r w:rsidRPr="00577C42">
        <w:rPr>
          <w:color w:val="auto"/>
        </w:rPr>
        <w:t>).</w:t>
      </w:r>
      <w:r w:rsidR="00E81CB6" w:rsidRPr="00577C42">
        <w:rPr>
          <w:color w:val="auto"/>
        </w:rPr>
        <w:t xml:space="preserve"> The Global Network and local governments responsible for Local Agenda 21 plans also illustrate the importance of vertical integration.</w:t>
      </w:r>
    </w:p>
    <w:p w14:paraId="5A129B6B" w14:textId="0278CEB8" w:rsidR="00FA1C78" w:rsidRPr="00577C42" w:rsidRDefault="008816C2" w:rsidP="00086545">
      <w:pPr>
        <w:rPr>
          <w:color w:val="auto"/>
        </w:rPr>
      </w:pPr>
      <w:r w:rsidRPr="00577C42">
        <w:rPr>
          <w:color w:val="auto"/>
        </w:rPr>
        <w:t xml:space="preserve">As </w:t>
      </w:r>
      <w:r w:rsidR="00333A6F">
        <w:rPr>
          <w:color w:val="auto"/>
        </w:rPr>
        <w:t>with</w:t>
      </w:r>
      <w:r w:rsidR="00333A6F" w:rsidRPr="00577C42">
        <w:rPr>
          <w:color w:val="auto"/>
        </w:rPr>
        <w:t xml:space="preserve"> </w:t>
      </w:r>
      <w:r w:rsidRPr="00577C42">
        <w:rPr>
          <w:color w:val="auto"/>
        </w:rPr>
        <w:t xml:space="preserve">many Environment ministries, many NCSDs found </w:t>
      </w:r>
      <w:r w:rsidR="00807B4D" w:rsidRPr="00577C42">
        <w:rPr>
          <w:color w:val="auto"/>
        </w:rPr>
        <w:t xml:space="preserve">it </w:t>
      </w:r>
      <w:r w:rsidRPr="00577C42">
        <w:rPr>
          <w:color w:val="auto"/>
        </w:rPr>
        <w:t xml:space="preserve">difficult </w:t>
      </w:r>
      <w:r w:rsidR="00807B4D" w:rsidRPr="00577C42">
        <w:rPr>
          <w:color w:val="auto"/>
        </w:rPr>
        <w:t>to</w:t>
      </w:r>
      <w:r w:rsidRPr="00577C42">
        <w:rPr>
          <w:color w:val="auto"/>
        </w:rPr>
        <w:t xml:space="preserve"> get their recommendations accepted, so they often resorted to dis</w:t>
      </w:r>
      <w:r w:rsidR="00FA1C78" w:rsidRPr="00577C42">
        <w:rPr>
          <w:color w:val="auto"/>
        </w:rPr>
        <w:t>semi</w:t>
      </w:r>
      <w:r w:rsidRPr="00577C42">
        <w:rPr>
          <w:color w:val="auto"/>
        </w:rPr>
        <w:t xml:space="preserve">nating key recommendations through </w:t>
      </w:r>
      <w:r w:rsidR="00FA1C78" w:rsidRPr="00C032D3">
        <w:rPr>
          <w:color w:val="auto"/>
        </w:rPr>
        <w:t>non</w:t>
      </w:r>
      <w:r w:rsidR="00FA1C78" w:rsidRPr="00577C42">
        <w:rPr>
          <w:color w:val="auto"/>
        </w:rPr>
        <w:t>-</w:t>
      </w:r>
      <w:r w:rsidRPr="00577C42">
        <w:rPr>
          <w:color w:val="auto"/>
        </w:rPr>
        <w:t xml:space="preserve">traditional media channels. </w:t>
      </w:r>
      <w:proofErr w:type="gramStart"/>
      <w:r w:rsidRPr="00577C42">
        <w:rPr>
          <w:color w:val="auto"/>
        </w:rPr>
        <w:t>A sufficient</w:t>
      </w:r>
      <w:proofErr w:type="gramEnd"/>
      <w:r w:rsidRPr="00577C42">
        <w:rPr>
          <w:color w:val="auto"/>
        </w:rPr>
        <w:t xml:space="preserve"> arms-length relationship from the normal silo</w:t>
      </w:r>
      <w:r w:rsidR="00E81CB6" w:rsidRPr="00577C42">
        <w:rPr>
          <w:color w:val="auto"/>
        </w:rPr>
        <w:t>-like</w:t>
      </w:r>
      <w:r w:rsidRPr="00577C42">
        <w:rPr>
          <w:color w:val="auto"/>
        </w:rPr>
        <w:t xml:space="preserve"> government bureaucracy may facilitate such </w:t>
      </w:r>
      <w:r w:rsidR="00FA1C78" w:rsidRPr="00C032D3">
        <w:rPr>
          <w:color w:val="auto"/>
        </w:rPr>
        <w:t>non</w:t>
      </w:r>
      <w:r w:rsidR="00FA1C78" w:rsidRPr="00577C42">
        <w:rPr>
          <w:color w:val="auto"/>
        </w:rPr>
        <w:t>-</w:t>
      </w:r>
      <w:r w:rsidRPr="00577C42">
        <w:rPr>
          <w:color w:val="auto"/>
        </w:rPr>
        <w:t>traditional communication mechanisms and an ability to reach out to a wider group of stakeholders.</w:t>
      </w:r>
    </w:p>
    <w:p w14:paraId="0C4AE1B5" w14:textId="624359E8" w:rsidR="00FA1C78" w:rsidRPr="00577C42" w:rsidRDefault="00807B4D" w:rsidP="00086545">
      <w:pPr>
        <w:rPr>
          <w:color w:val="auto"/>
        </w:rPr>
      </w:pPr>
      <w:bookmarkStart w:id="83" w:name="_4d34og8" w:colFirst="0" w:colLast="0"/>
      <w:bookmarkEnd w:id="83"/>
      <w:r w:rsidRPr="00577C42">
        <w:rPr>
          <w:color w:val="auto"/>
        </w:rPr>
        <w:t>The c</w:t>
      </w:r>
      <w:r w:rsidR="008816C2" w:rsidRPr="00577C42">
        <w:rPr>
          <w:color w:val="auto"/>
        </w:rPr>
        <w:t>omposition of the NCSD</w:t>
      </w:r>
      <w:r w:rsidR="00333A6F">
        <w:rPr>
          <w:color w:val="auto"/>
        </w:rPr>
        <w:t>s</w:t>
      </w:r>
      <w:r w:rsidR="008816C2" w:rsidRPr="00577C42">
        <w:rPr>
          <w:color w:val="auto"/>
        </w:rPr>
        <w:t xml:space="preserve"> has usually </w:t>
      </w:r>
      <w:r w:rsidR="00D42AB9" w:rsidRPr="00577C42">
        <w:rPr>
          <w:color w:val="auto"/>
        </w:rPr>
        <w:t>reflected</w:t>
      </w:r>
      <w:r w:rsidR="008816C2" w:rsidRPr="00577C42">
        <w:rPr>
          <w:color w:val="auto"/>
        </w:rPr>
        <w:t xml:space="preserve"> the national political context</w:t>
      </w:r>
      <w:r w:rsidRPr="00577C42">
        <w:rPr>
          <w:color w:val="auto"/>
        </w:rPr>
        <w:t>,</w:t>
      </w:r>
      <w:r w:rsidR="008816C2" w:rsidRPr="00577C42">
        <w:rPr>
          <w:color w:val="auto"/>
        </w:rPr>
        <w:t xml:space="preserve"> and no clear preference </w:t>
      </w:r>
      <w:r w:rsidRPr="00577C42">
        <w:rPr>
          <w:color w:val="auto"/>
        </w:rPr>
        <w:t xml:space="preserve">has </w:t>
      </w:r>
      <w:r w:rsidR="008816C2" w:rsidRPr="00577C42">
        <w:rPr>
          <w:color w:val="auto"/>
        </w:rPr>
        <w:t>emerged. With only government agencies as members</w:t>
      </w:r>
      <w:r w:rsidRPr="00577C42">
        <w:rPr>
          <w:color w:val="auto"/>
        </w:rPr>
        <w:t>,</w:t>
      </w:r>
      <w:r w:rsidR="008816C2" w:rsidRPr="00577C42">
        <w:rPr>
          <w:color w:val="auto"/>
        </w:rPr>
        <w:t xml:space="preserve"> there is a higher risk of being influenced by political interests and possibly </w:t>
      </w:r>
      <w:r w:rsidR="00333A6F">
        <w:rPr>
          <w:color w:val="auto"/>
        </w:rPr>
        <w:t xml:space="preserve">create </w:t>
      </w:r>
      <w:r w:rsidR="008816C2" w:rsidRPr="00577C42">
        <w:rPr>
          <w:color w:val="auto"/>
        </w:rPr>
        <w:t>lower levels of ambition. Mixed memberships had difficulty in avoiding the dominance of government views and keeping track of the larger picture. Councils dominated by NGOs and other members outside government had difficulty in influenc</w:t>
      </w:r>
      <w:r w:rsidRPr="00577C42">
        <w:rPr>
          <w:color w:val="auto"/>
        </w:rPr>
        <w:t>ing</w:t>
      </w:r>
      <w:r w:rsidR="008816C2" w:rsidRPr="00577C42">
        <w:rPr>
          <w:color w:val="auto"/>
        </w:rPr>
        <w:t xml:space="preserve"> decision</w:t>
      </w:r>
      <w:r w:rsidRPr="00577C42">
        <w:rPr>
          <w:color w:val="auto"/>
        </w:rPr>
        <w:t>-</w:t>
      </w:r>
      <w:r w:rsidR="008816C2" w:rsidRPr="00577C42">
        <w:rPr>
          <w:color w:val="auto"/>
        </w:rPr>
        <w:t>makers and often had long-term funding issues. A key factor in the success of NCSDs, however, has been the status and engagement of the Chair, with an in</w:t>
      </w:r>
      <w:r w:rsidR="00FA1C78" w:rsidRPr="00C032D3">
        <w:rPr>
          <w:color w:val="auto"/>
        </w:rPr>
        <w:t>dependent</w:t>
      </w:r>
      <w:r w:rsidR="008816C2" w:rsidRPr="00577C42">
        <w:rPr>
          <w:color w:val="auto"/>
        </w:rPr>
        <w:t xml:space="preserve"> Chair or co-Chair appearing to offer the best results.</w:t>
      </w:r>
    </w:p>
    <w:p w14:paraId="3234ED17" w14:textId="6F9F1EA4" w:rsidR="00FA1C78" w:rsidRPr="00577C42" w:rsidRDefault="008816C2" w:rsidP="00086545">
      <w:pPr>
        <w:rPr>
          <w:color w:val="auto"/>
        </w:rPr>
      </w:pPr>
      <w:r w:rsidRPr="00577C42">
        <w:rPr>
          <w:color w:val="auto"/>
        </w:rPr>
        <w:lastRenderedPageBreak/>
        <w:t xml:space="preserve">Despite the drawbacks listed above, the following conclusion </w:t>
      </w:r>
      <w:r w:rsidR="00333A6F">
        <w:rPr>
          <w:color w:val="auto"/>
        </w:rPr>
        <w:t>has emerged</w:t>
      </w:r>
      <w:r w:rsidRPr="00577C42">
        <w:rPr>
          <w:color w:val="auto"/>
        </w:rPr>
        <w:t>: “Where NCSDs exist, they should be nourished. Where they do not yet exist, careful consideration should be given to establishing them. Where they have been discontinued for essentially short-term reasons, consideration should be given to re-establishing them, possibly in a new format” (Os</w:t>
      </w:r>
      <w:r w:rsidR="00715AD6" w:rsidRPr="00C032D3">
        <w:rPr>
          <w:color w:val="auto"/>
        </w:rPr>
        <w:t>bo</w:t>
      </w:r>
      <w:r w:rsidR="00FA1C78" w:rsidRPr="00C032D3">
        <w:rPr>
          <w:color w:val="auto"/>
        </w:rPr>
        <w:t>r</w:t>
      </w:r>
      <w:r w:rsidRPr="00577C42">
        <w:rPr>
          <w:color w:val="auto"/>
        </w:rPr>
        <w:t>n</w:t>
      </w:r>
      <w:r w:rsidR="0027753F" w:rsidRPr="00577C42">
        <w:rPr>
          <w:color w:val="auto"/>
        </w:rPr>
        <w:t>,</w:t>
      </w:r>
      <w:r w:rsidRPr="00577C42">
        <w:rPr>
          <w:color w:val="auto"/>
        </w:rPr>
        <w:t xml:space="preserve"> </w:t>
      </w:r>
      <w:r w:rsidR="0027753F" w:rsidRPr="00577C42">
        <w:rPr>
          <w:color w:val="auto"/>
        </w:rPr>
        <w:t xml:space="preserve">Cornforth and Ullah </w:t>
      </w:r>
      <w:r w:rsidR="00FA1C78" w:rsidRPr="00C032D3">
        <w:rPr>
          <w:color w:val="auto"/>
        </w:rPr>
        <w:t>2014</w:t>
      </w:r>
      <w:r w:rsidRPr="00577C42">
        <w:rPr>
          <w:color w:val="auto"/>
        </w:rPr>
        <w:t>).</w:t>
      </w:r>
    </w:p>
    <w:p w14:paraId="17956514" w14:textId="77777777" w:rsidR="00FA1C78" w:rsidRPr="00577C42" w:rsidRDefault="008816C2" w:rsidP="00B04299">
      <w:pPr>
        <w:pStyle w:val="Heading2"/>
      </w:pPr>
      <w:bookmarkStart w:id="84" w:name="_Toc511747983"/>
      <w:r w:rsidRPr="00577C42">
        <w:t>Conclusions</w:t>
      </w:r>
      <w:bookmarkEnd w:id="84"/>
    </w:p>
    <w:p w14:paraId="0F64ED36" w14:textId="77777777" w:rsidR="00333A6F" w:rsidRDefault="00F47AA6" w:rsidP="00086545">
      <w:pPr>
        <w:rPr>
          <w:color w:val="auto"/>
        </w:rPr>
      </w:pPr>
      <w:r w:rsidRPr="00577C42">
        <w:rPr>
          <w:color w:val="auto"/>
        </w:rPr>
        <w:t>T</w:t>
      </w:r>
      <w:r w:rsidR="008816C2" w:rsidRPr="00577C42">
        <w:rPr>
          <w:color w:val="auto"/>
        </w:rPr>
        <w:t>he importance of good policy design cannot be overstressed. Some common elements are</w:t>
      </w:r>
      <w:r w:rsidR="00807B4D" w:rsidRPr="00577C42">
        <w:rPr>
          <w:color w:val="auto"/>
        </w:rPr>
        <w:t>:</w:t>
      </w:r>
    </w:p>
    <w:p w14:paraId="14ACD7D0" w14:textId="46676374" w:rsidR="00333A6F" w:rsidRDefault="008816C2" w:rsidP="00333A6F">
      <w:pPr>
        <w:pStyle w:val="ListParagraph"/>
        <w:numPr>
          <w:ilvl w:val="1"/>
          <w:numId w:val="20"/>
        </w:numPr>
        <w:rPr>
          <w:color w:val="auto"/>
        </w:rPr>
      </w:pPr>
      <w:r w:rsidRPr="007C367A">
        <w:rPr>
          <w:color w:val="auto"/>
        </w:rPr>
        <w:t>setting a long</w:t>
      </w:r>
      <w:r w:rsidR="00807B4D" w:rsidRPr="007C367A">
        <w:rPr>
          <w:color w:val="auto"/>
        </w:rPr>
        <w:t>-</w:t>
      </w:r>
      <w:r w:rsidRPr="007C367A">
        <w:rPr>
          <w:color w:val="auto"/>
        </w:rPr>
        <w:t>term vision and avoiding crisis</w:t>
      </w:r>
      <w:r w:rsidR="00807B4D" w:rsidRPr="007C367A">
        <w:rPr>
          <w:color w:val="auto"/>
        </w:rPr>
        <w:t>-</w:t>
      </w:r>
      <w:r w:rsidRPr="007C367A">
        <w:rPr>
          <w:color w:val="auto"/>
        </w:rPr>
        <w:t>mode policy decisions, through inclusive, participatory design processes;</w:t>
      </w:r>
    </w:p>
    <w:p w14:paraId="17DC9C64" w14:textId="075F3CE0" w:rsidR="00333A6F" w:rsidRDefault="008816C2" w:rsidP="00333A6F">
      <w:pPr>
        <w:pStyle w:val="ListParagraph"/>
        <w:numPr>
          <w:ilvl w:val="1"/>
          <w:numId w:val="20"/>
        </w:numPr>
        <w:rPr>
          <w:color w:val="auto"/>
        </w:rPr>
      </w:pPr>
      <w:r w:rsidRPr="007C367A">
        <w:rPr>
          <w:color w:val="auto"/>
        </w:rPr>
        <w:t>establishing a baseline, quantified targets and milestones;</w:t>
      </w:r>
    </w:p>
    <w:p w14:paraId="430CF4B5" w14:textId="6BAF07C8" w:rsidR="00333A6F" w:rsidRDefault="008816C2" w:rsidP="00333A6F">
      <w:pPr>
        <w:pStyle w:val="ListParagraph"/>
        <w:numPr>
          <w:ilvl w:val="1"/>
          <w:numId w:val="20"/>
        </w:numPr>
        <w:rPr>
          <w:color w:val="auto"/>
        </w:rPr>
      </w:pPr>
      <w:r w:rsidRPr="007C367A">
        <w:rPr>
          <w:color w:val="auto"/>
        </w:rPr>
        <w:t xml:space="preserve">conducting </w:t>
      </w:r>
      <w:r w:rsidRPr="007C367A">
        <w:rPr>
          <w:i/>
          <w:color w:val="auto"/>
        </w:rPr>
        <w:t>ex ante</w:t>
      </w:r>
      <w:r w:rsidRPr="007C367A">
        <w:rPr>
          <w:color w:val="auto"/>
        </w:rPr>
        <w:t xml:space="preserve"> and </w:t>
      </w:r>
      <w:r w:rsidRPr="007C367A">
        <w:rPr>
          <w:i/>
          <w:color w:val="auto"/>
        </w:rPr>
        <w:t>ex post</w:t>
      </w:r>
      <w:r w:rsidRPr="007C367A">
        <w:rPr>
          <w:color w:val="auto"/>
        </w:rPr>
        <w:t xml:space="preserve"> cost</w:t>
      </w:r>
      <w:r w:rsidR="00807B4D" w:rsidRPr="007C367A">
        <w:rPr>
          <w:color w:val="auto"/>
        </w:rPr>
        <w:t>–</w:t>
      </w:r>
      <w:r w:rsidRPr="007C367A">
        <w:rPr>
          <w:color w:val="auto"/>
        </w:rPr>
        <w:t xml:space="preserve">benefit or cost-effectiveness analysis to ensure that public funds are being used most efficiently and effectively; </w:t>
      </w:r>
    </w:p>
    <w:p w14:paraId="1425B45A" w14:textId="34CA7C84" w:rsidR="00333A6F" w:rsidRDefault="008816C2" w:rsidP="00333A6F">
      <w:pPr>
        <w:pStyle w:val="ListParagraph"/>
        <w:numPr>
          <w:ilvl w:val="1"/>
          <w:numId w:val="20"/>
        </w:numPr>
        <w:rPr>
          <w:color w:val="auto"/>
        </w:rPr>
      </w:pPr>
      <w:r w:rsidRPr="007C367A">
        <w:rPr>
          <w:color w:val="auto"/>
        </w:rPr>
        <w:t>building in monitoring regimes during implementation, preferably involving affected stakeholders; and</w:t>
      </w:r>
    </w:p>
    <w:p w14:paraId="69472EA4" w14:textId="5717AD57" w:rsidR="00FA1C78" w:rsidRPr="007C367A" w:rsidRDefault="008816C2" w:rsidP="007C367A">
      <w:pPr>
        <w:pStyle w:val="ListParagraph"/>
        <w:numPr>
          <w:ilvl w:val="1"/>
          <w:numId w:val="20"/>
        </w:numPr>
        <w:rPr>
          <w:color w:val="auto"/>
        </w:rPr>
      </w:pPr>
      <w:r w:rsidRPr="007C367A">
        <w:rPr>
          <w:color w:val="auto"/>
        </w:rPr>
        <w:t>conducting post-</w:t>
      </w:r>
      <w:r w:rsidR="00807B4D" w:rsidRPr="007C367A">
        <w:rPr>
          <w:color w:val="auto"/>
        </w:rPr>
        <w:t xml:space="preserve">intervention </w:t>
      </w:r>
      <w:r w:rsidRPr="007C367A">
        <w:rPr>
          <w:color w:val="auto"/>
        </w:rPr>
        <w:t>evaluation of the policy outcomes and impacts to close the loop for future policy design improvements (</w:t>
      </w:r>
      <w:proofErr w:type="spellStart"/>
      <w:r w:rsidRPr="007C367A">
        <w:rPr>
          <w:color w:val="auto"/>
        </w:rPr>
        <w:t>Mickwitz</w:t>
      </w:r>
      <w:proofErr w:type="spellEnd"/>
      <w:r w:rsidRPr="007C367A">
        <w:rPr>
          <w:color w:val="auto"/>
        </w:rPr>
        <w:t xml:space="preserve"> </w:t>
      </w:r>
      <w:r w:rsidR="0027753F" w:rsidRPr="007C367A">
        <w:rPr>
          <w:i/>
          <w:color w:val="auto"/>
        </w:rPr>
        <w:t>et al</w:t>
      </w:r>
      <w:r w:rsidR="0027753F" w:rsidRPr="007C367A">
        <w:rPr>
          <w:color w:val="auto"/>
        </w:rPr>
        <w:t xml:space="preserve">. </w:t>
      </w:r>
      <w:r w:rsidR="00FA1C78" w:rsidRPr="007C367A">
        <w:rPr>
          <w:color w:val="auto"/>
        </w:rPr>
        <w:t>2009</w:t>
      </w:r>
      <w:r w:rsidR="00807B4D" w:rsidRPr="007C367A">
        <w:rPr>
          <w:color w:val="auto"/>
        </w:rPr>
        <w:t>,</w:t>
      </w:r>
      <w:r w:rsidRPr="007C367A">
        <w:rPr>
          <w:color w:val="auto"/>
        </w:rPr>
        <w:t xml:space="preserve"> p</w:t>
      </w:r>
      <w:r w:rsidR="00807B4D" w:rsidRPr="007C367A">
        <w:rPr>
          <w:color w:val="auto"/>
        </w:rPr>
        <w:t>.</w:t>
      </w:r>
      <w:r w:rsidRPr="007C367A">
        <w:rPr>
          <w:color w:val="auto"/>
        </w:rPr>
        <w:t>12).</w:t>
      </w:r>
    </w:p>
    <w:p w14:paraId="05C578EF" w14:textId="37F15759" w:rsidR="00FA1C78" w:rsidRPr="00577C42" w:rsidRDefault="00E5726F" w:rsidP="00086545">
      <w:pPr>
        <w:rPr>
          <w:rFonts w:ascii="Times New Roman" w:eastAsia="Times New Roman" w:hAnsi="Times New Roman" w:cs="Times New Roman"/>
          <w:color w:val="auto"/>
        </w:rPr>
      </w:pPr>
      <w:r w:rsidRPr="00577C42">
        <w:rPr>
          <w:color w:val="auto"/>
        </w:rPr>
        <w:t>Focus also needs to be on ensuring that regulatory arrangements and policy instruments and tools take local conditions</w:t>
      </w:r>
      <w:r w:rsidR="00807B4D" w:rsidRPr="00577C42">
        <w:rPr>
          <w:color w:val="auto"/>
        </w:rPr>
        <w:t xml:space="preserve"> into account</w:t>
      </w:r>
      <w:r w:rsidRPr="00577C42">
        <w:rPr>
          <w:color w:val="auto"/>
        </w:rPr>
        <w:t>.</w:t>
      </w:r>
      <w:r w:rsidR="00F47AA6" w:rsidRPr="00577C42">
        <w:rPr>
          <w:color w:val="auto"/>
        </w:rPr>
        <w:t xml:space="preserve"> The need for appropriate design applies also </w:t>
      </w:r>
      <w:r w:rsidR="00807B4D" w:rsidRPr="00577C42">
        <w:rPr>
          <w:color w:val="auto"/>
        </w:rPr>
        <w:t xml:space="preserve">to </w:t>
      </w:r>
      <w:r w:rsidR="00F47AA6" w:rsidRPr="00577C42">
        <w:rPr>
          <w:color w:val="auto"/>
        </w:rPr>
        <w:t>international regime</w:t>
      </w:r>
      <w:r w:rsidR="00807B4D" w:rsidRPr="00577C42">
        <w:rPr>
          <w:color w:val="auto"/>
        </w:rPr>
        <w:t>s</w:t>
      </w:r>
      <w:r w:rsidR="00F47AA6" w:rsidRPr="00577C42">
        <w:rPr>
          <w:color w:val="auto"/>
        </w:rPr>
        <w:t xml:space="preserve"> (Young </w:t>
      </w:r>
      <w:r w:rsidR="00FA1C78" w:rsidRPr="00C032D3">
        <w:rPr>
          <w:color w:val="auto"/>
        </w:rPr>
        <w:t>2011</w:t>
      </w:r>
      <w:r w:rsidR="00F47AA6" w:rsidRPr="00577C42">
        <w:rPr>
          <w:color w:val="auto"/>
        </w:rPr>
        <w:t>).</w:t>
      </w:r>
      <w:r w:rsidR="00FA1C78" w:rsidRPr="00C032D3">
        <w:rPr>
          <w:color w:val="auto"/>
        </w:rPr>
        <w:t xml:space="preserve"> </w:t>
      </w:r>
      <w:r w:rsidR="00333A6F">
        <w:rPr>
          <w:color w:val="auto"/>
        </w:rPr>
        <w:t xml:space="preserve">Policy </w:t>
      </w:r>
      <w:r w:rsidR="00EB2DFA" w:rsidRPr="00577C42">
        <w:rPr>
          <w:color w:val="auto"/>
        </w:rPr>
        <w:t xml:space="preserve">design complexity increases when an effective mix of policies is required, often in areas under the control of different sectoral </w:t>
      </w:r>
      <w:r w:rsidR="00333A6F">
        <w:rPr>
          <w:color w:val="auto"/>
        </w:rPr>
        <w:t>priorities</w:t>
      </w:r>
      <w:r w:rsidR="00EB2DFA" w:rsidRPr="00577C42">
        <w:rPr>
          <w:color w:val="auto"/>
        </w:rPr>
        <w:t xml:space="preserve">. Policy coherence and environmental policy integration are critical considerations to ensure that policies are synergistic and </w:t>
      </w:r>
      <w:r w:rsidR="00333A6F">
        <w:rPr>
          <w:color w:val="auto"/>
        </w:rPr>
        <w:t xml:space="preserve">do </w:t>
      </w:r>
      <w:r w:rsidR="00EB2DFA" w:rsidRPr="00577C42">
        <w:rPr>
          <w:color w:val="auto"/>
        </w:rPr>
        <w:t>not undermin</w:t>
      </w:r>
      <w:r w:rsidR="00333A6F">
        <w:rPr>
          <w:color w:val="auto"/>
        </w:rPr>
        <w:t>e</w:t>
      </w:r>
      <w:r w:rsidR="00EB2DFA" w:rsidRPr="00577C42">
        <w:rPr>
          <w:color w:val="auto"/>
        </w:rPr>
        <w:t xml:space="preserve"> each other. Institutional effectiveness often springs from </w:t>
      </w:r>
      <w:r w:rsidR="00FA1C78" w:rsidRPr="00577C42">
        <w:rPr>
          <w:color w:val="auto"/>
        </w:rPr>
        <w:t>collaborat</w:t>
      </w:r>
      <w:r w:rsidR="00EB2DFA" w:rsidRPr="00577C42">
        <w:rPr>
          <w:color w:val="auto"/>
        </w:rPr>
        <w:t>ive and participatory arrangements, involving both horizontal and vertical integration.</w:t>
      </w:r>
    </w:p>
    <w:p w14:paraId="278FBA07" w14:textId="2A11866F" w:rsidR="00FA1C78" w:rsidRPr="00577C42" w:rsidRDefault="008816C2" w:rsidP="00086545">
      <w:pPr>
        <w:rPr>
          <w:color w:val="auto"/>
        </w:rPr>
      </w:pPr>
      <w:r w:rsidRPr="00577C42">
        <w:rPr>
          <w:color w:val="auto"/>
        </w:rPr>
        <w:t>Policy diffusion is generally positive but can be misused if</w:t>
      </w:r>
      <w:r w:rsidR="00807B4D" w:rsidRPr="00577C42">
        <w:rPr>
          <w:color w:val="auto"/>
        </w:rPr>
        <w:t>:</w:t>
      </w:r>
      <w:r w:rsidRPr="00577C42">
        <w:rPr>
          <w:color w:val="auto"/>
        </w:rPr>
        <w:t xml:space="preserve"> (</w:t>
      </w:r>
      <w:proofErr w:type="spellStart"/>
      <w:r w:rsidRPr="00577C42">
        <w:rPr>
          <w:color w:val="auto"/>
        </w:rPr>
        <w:t>i</w:t>
      </w:r>
      <w:proofErr w:type="spellEnd"/>
      <w:r w:rsidRPr="00577C42">
        <w:rPr>
          <w:color w:val="auto"/>
        </w:rPr>
        <w:t>) the policy adopted is not truly effective in the new context; and (ii) the transferability of the policy is merely assumed and not tested under different conditions.</w:t>
      </w:r>
      <w:r w:rsidR="00FA1C78" w:rsidRPr="00C032D3">
        <w:rPr>
          <w:color w:val="auto"/>
        </w:rPr>
        <w:t xml:space="preserve"> </w:t>
      </w:r>
      <w:r w:rsidRPr="00577C42">
        <w:rPr>
          <w:color w:val="auto"/>
        </w:rPr>
        <w:t>While it is human nature to want to copy, there is no substitute for evidence-based policy.</w:t>
      </w:r>
    </w:p>
    <w:p w14:paraId="6C7A6899" w14:textId="75C1D184" w:rsidR="0009192B" w:rsidRPr="00577C42" w:rsidRDefault="0009192B" w:rsidP="00086545">
      <w:pPr>
        <w:rPr>
          <w:color w:val="auto"/>
        </w:rPr>
        <w:sectPr w:rsidR="0009192B" w:rsidRPr="00577C42" w:rsidSect="005706F9">
          <w:pgSz w:w="11907" w:h="16839"/>
          <w:pgMar w:top="1440" w:right="1440" w:bottom="1440" w:left="1530" w:header="720" w:footer="720" w:gutter="0"/>
          <w:cols w:space="720"/>
          <w:docGrid w:linePitch="326"/>
        </w:sectPr>
      </w:pPr>
      <w:bookmarkStart w:id="85" w:name="_9afr2proubsd" w:colFirst="0" w:colLast="0"/>
      <w:bookmarkEnd w:id="85"/>
    </w:p>
    <w:p w14:paraId="00C3B277" w14:textId="77777777" w:rsidR="00FA1C78" w:rsidRPr="00577C42" w:rsidRDefault="008816C2" w:rsidP="00796229">
      <w:pPr>
        <w:pStyle w:val="Heading1"/>
        <w:numPr>
          <w:ilvl w:val="0"/>
          <w:numId w:val="0"/>
        </w:numPr>
        <w:ind w:left="720" w:hanging="720"/>
      </w:pPr>
      <w:bookmarkStart w:id="86" w:name="_Toc511747984"/>
      <w:r w:rsidRPr="00577C42">
        <w:lastRenderedPageBreak/>
        <w:t>References</w:t>
      </w:r>
      <w:bookmarkEnd w:id="86"/>
    </w:p>
    <w:p w14:paraId="7FC98E3B" w14:textId="1056FD39"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Abbott, K.W. and Snidal, D. (2010). International regulation without international government: Improving IO performance through orchestration. </w:t>
      </w:r>
      <w:r w:rsidRPr="00210EEC">
        <w:rPr>
          <w:rFonts w:asciiTheme="minorHAnsi" w:hAnsiTheme="minorHAnsi" w:cs="Segoe UI"/>
          <w:i/>
          <w:iCs/>
          <w:sz w:val="18"/>
          <w:szCs w:val="18"/>
        </w:rPr>
        <w:t>The Review of International Organizations</w:t>
      </w:r>
      <w:r w:rsidRPr="00210EEC">
        <w:rPr>
          <w:rFonts w:asciiTheme="minorHAnsi" w:hAnsiTheme="minorHAnsi" w:cs="Segoe UI"/>
          <w:sz w:val="18"/>
          <w:szCs w:val="18"/>
        </w:rPr>
        <w:t xml:space="preserve"> 5(3), 315-344. </w:t>
      </w:r>
      <w:hyperlink r:id="rId13" w:history="1">
        <w:r w:rsidR="00210EEC" w:rsidRPr="003D09EF">
          <w:rPr>
            <w:rStyle w:val="Hyperlink"/>
            <w:rFonts w:asciiTheme="minorHAnsi" w:hAnsiTheme="minorHAnsi" w:cs="Segoe UI"/>
            <w:sz w:val="18"/>
            <w:szCs w:val="18"/>
          </w:rPr>
          <w:t>https://doi.org/10.1007/s11558-010-9092-3</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2626E88"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5375669" w14:textId="232656F3"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Adelle, C., Jordan, A., </w:t>
      </w:r>
      <w:proofErr w:type="spellStart"/>
      <w:r w:rsidRPr="00210EEC">
        <w:rPr>
          <w:rFonts w:asciiTheme="minorHAnsi" w:hAnsiTheme="minorHAnsi" w:cs="Segoe UI"/>
          <w:sz w:val="18"/>
          <w:szCs w:val="18"/>
        </w:rPr>
        <w:t>Turnpenny</w:t>
      </w:r>
      <w:proofErr w:type="spellEnd"/>
      <w:r w:rsidRPr="00210EEC">
        <w:rPr>
          <w:rFonts w:asciiTheme="minorHAnsi" w:hAnsiTheme="minorHAnsi" w:cs="Segoe UI"/>
          <w:sz w:val="18"/>
          <w:szCs w:val="18"/>
        </w:rPr>
        <w:t xml:space="preserve">, J., </w:t>
      </w:r>
      <w:proofErr w:type="spellStart"/>
      <w:r w:rsidRPr="00210EEC">
        <w:rPr>
          <w:rFonts w:asciiTheme="minorHAnsi" w:hAnsiTheme="minorHAnsi" w:cs="Segoe UI"/>
          <w:sz w:val="18"/>
          <w:szCs w:val="18"/>
        </w:rPr>
        <w:t>Bartke</w:t>
      </w:r>
      <w:proofErr w:type="spellEnd"/>
      <w:r w:rsidRPr="00210EEC">
        <w:rPr>
          <w:rFonts w:asciiTheme="minorHAnsi" w:hAnsiTheme="minorHAnsi" w:cs="Segoe UI"/>
          <w:sz w:val="18"/>
          <w:szCs w:val="18"/>
        </w:rPr>
        <w:t xml:space="preserve">, S., </w:t>
      </w:r>
      <w:proofErr w:type="spellStart"/>
      <w:r w:rsidRPr="00210EEC">
        <w:rPr>
          <w:rFonts w:asciiTheme="minorHAnsi" w:hAnsiTheme="minorHAnsi" w:cs="Segoe UI"/>
          <w:sz w:val="18"/>
          <w:szCs w:val="18"/>
        </w:rPr>
        <w:t>Bournaris</w:t>
      </w:r>
      <w:proofErr w:type="spellEnd"/>
      <w:r w:rsidRPr="00210EEC">
        <w:rPr>
          <w:rFonts w:asciiTheme="minorHAnsi" w:hAnsiTheme="minorHAnsi" w:cs="Segoe UI"/>
          <w:sz w:val="18"/>
          <w:szCs w:val="18"/>
        </w:rPr>
        <w:t xml:space="preserve">, T., </w:t>
      </w:r>
      <w:proofErr w:type="spellStart"/>
      <w:r w:rsidRPr="00210EEC">
        <w:rPr>
          <w:rFonts w:asciiTheme="minorHAnsi" w:hAnsiTheme="minorHAnsi" w:cs="Segoe UI"/>
          <w:sz w:val="18"/>
          <w:szCs w:val="18"/>
        </w:rPr>
        <w:t>Kuittinen</w:t>
      </w:r>
      <w:proofErr w:type="spellEnd"/>
      <w:r w:rsidRPr="00210EEC">
        <w:rPr>
          <w:rFonts w:asciiTheme="minorHAnsi" w:hAnsiTheme="minorHAnsi" w:cs="Segoe UI"/>
          <w:sz w:val="18"/>
          <w:szCs w:val="18"/>
        </w:rPr>
        <w:t>, H.</w:t>
      </w:r>
      <w:r w:rsidRPr="00210EEC">
        <w:rPr>
          <w:rFonts w:asciiTheme="minorHAnsi" w:hAnsiTheme="minorHAnsi" w:cs="Segoe UI"/>
          <w:i/>
          <w:iCs/>
          <w:sz w:val="18"/>
          <w:szCs w:val="18"/>
        </w:rPr>
        <w:t xml:space="preserve"> et al.</w:t>
      </w:r>
      <w:r w:rsidRPr="00210EEC">
        <w:rPr>
          <w:rFonts w:asciiTheme="minorHAnsi" w:hAnsiTheme="minorHAnsi" w:cs="Segoe UI"/>
          <w:sz w:val="18"/>
          <w:szCs w:val="18"/>
        </w:rPr>
        <w:t xml:space="preserve"> (2011). </w:t>
      </w:r>
      <w:r w:rsidRPr="00210EEC">
        <w:rPr>
          <w:rFonts w:asciiTheme="minorHAnsi" w:hAnsiTheme="minorHAnsi" w:cs="Segoe UI"/>
          <w:i/>
          <w:iCs/>
          <w:sz w:val="18"/>
          <w:szCs w:val="18"/>
        </w:rPr>
        <w:t>Impact Assessment Practices in Europe.</w:t>
      </w:r>
      <w:r w:rsidRPr="00210EEC">
        <w:rPr>
          <w:rFonts w:asciiTheme="minorHAnsi" w:hAnsiTheme="minorHAnsi" w:cs="Segoe UI"/>
          <w:sz w:val="18"/>
          <w:szCs w:val="18"/>
        </w:rPr>
        <w:t xml:space="preserve"> Berlin: LIAISE Innovation. </w:t>
      </w:r>
      <w:hyperlink r:id="rId14" w:history="1">
        <w:r w:rsidR="00210EEC" w:rsidRPr="003D09EF">
          <w:rPr>
            <w:rStyle w:val="Hyperlink"/>
            <w:rFonts w:asciiTheme="minorHAnsi" w:hAnsiTheme="minorHAnsi" w:cs="Segoe UI"/>
            <w:sz w:val="18"/>
            <w:szCs w:val="18"/>
          </w:rPr>
          <w:t>https://refubium.fu-berlin.de/bitstream/handle/fub188/18658/LIAISE_innovation_report_n02.pdf?sequence=1&amp;isAllowed=y</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6FACF7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EF6C3FB" w14:textId="2F6A38A0"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Adelle, C., Macrae, D., </w:t>
      </w:r>
      <w:proofErr w:type="spellStart"/>
      <w:r w:rsidRPr="00210EEC">
        <w:rPr>
          <w:rFonts w:asciiTheme="minorHAnsi" w:hAnsiTheme="minorHAnsi" w:cs="Segoe UI"/>
          <w:sz w:val="18"/>
          <w:szCs w:val="18"/>
        </w:rPr>
        <w:t>Marusic</w:t>
      </w:r>
      <w:proofErr w:type="spellEnd"/>
      <w:r w:rsidRPr="00210EEC">
        <w:rPr>
          <w:rFonts w:asciiTheme="minorHAnsi" w:hAnsiTheme="minorHAnsi" w:cs="Segoe UI"/>
          <w:sz w:val="18"/>
          <w:szCs w:val="18"/>
        </w:rPr>
        <w:t xml:space="preserve">, A. and </w:t>
      </w:r>
      <w:proofErr w:type="spellStart"/>
      <w:r w:rsidRPr="00210EEC">
        <w:rPr>
          <w:rFonts w:asciiTheme="minorHAnsi" w:hAnsiTheme="minorHAnsi" w:cs="Segoe UI"/>
          <w:sz w:val="18"/>
          <w:szCs w:val="18"/>
        </w:rPr>
        <w:t>Naru</w:t>
      </w:r>
      <w:proofErr w:type="spellEnd"/>
      <w:r w:rsidRPr="00210EEC">
        <w:rPr>
          <w:rFonts w:asciiTheme="minorHAnsi" w:hAnsiTheme="minorHAnsi" w:cs="Segoe UI"/>
          <w:sz w:val="18"/>
          <w:szCs w:val="18"/>
        </w:rPr>
        <w:t xml:space="preserve">, F. (2015). New development: Regulatory impact assessment in developing countries—tales from the road to good governance. </w:t>
      </w:r>
      <w:r w:rsidRPr="00210EEC">
        <w:rPr>
          <w:rFonts w:asciiTheme="minorHAnsi" w:hAnsiTheme="minorHAnsi" w:cs="Segoe UI"/>
          <w:i/>
          <w:iCs/>
          <w:sz w:val="18"/>
          <w:szCs w:val="18"/>
        </w:rPr>
        <w:t>Public Money &amp; Management</w:t>
      </w:r>
      <w:r w:rsidRPr="00210EEC">
        <w:rPr>
          <w:rFonts w:asciiTheme="minorHAnsi" w:hAnsiTheme="minorHAnsi" w:cs="Segoe UI"/>
          <w:sz w:val="18"/>
          <w:szCs w:val="18"/>
        </w:rPr>
        <w:t xml:space="preserve"> 35(3), 233-238. </w:t>
      </w:r>
      <w:hyperlink r:id="rId15" w:history="1">
        <w:r w:rsidR="00210EEC" w:rsidRPr="003D09EF">
          <w:rPr>
            <w:rStyle w:val="Hyperlink"/>
            <w:rFonts w:asciiTheme="minorHAnsi" w:hAnsiTheme="minorHAnsi" w:cs="Segoe UI"/>
            <w:sz w:val="18"/>
            <w:szCs w:val="18"/>
          </w:rPr>
          <w:t>https://doi.org/10.1080/09540962.2015.1027500</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BC93872"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1873318" w14:textId="78FFC3D1"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Adelle, C. and Weiland, S. (2012). Policy assessment: the state of the art. </w:t>
      </w:r>
      <w:r w:rsidRPr="00210EEC">
        <w:rPr>
          <w:rFonts w:asciiTheme="minorHAnsi" w:hAnsiTheme="minorHAnsi" w:cs="Segoe UI"/>
          <w:i/>
          <w:iCs/>
          <w:sz w:val="18"/>
          <w:szCs w:val="18"/>
        </w:rPr>
        <w:t>Impact Assessment and Project Appraisal</w:t>
      </w:r>
      <w:r w:rsidRPr="00210EEC">
        <w:rPr>
          <w:rFonts w:asciiTheme="minorHAnsi" w:hAnsiTheme="minorHAnsi" w:cs="Segoe UI"/>
          <w:sz w:val="18"/>
          <w:szCs w:val="18"/>
        </w:rPr>
        <w:t xml:space="preserve"> 30(1), 25-33. </w:t>
      </w:r>
      <w:hyperlink r:id="rId16" w:history="1">
        <w:r w:rsidR="00210EEC" w:rsidRPr="003D09EF">
          <w:rPr>
            <w:rStyle w:val="Hyperlink"/>
            <w:rFonts w:asciiTheme="minorHAnsi" w:hAnsiTheme="minorHAnsi" w:cs="Segoe UI"/>
            <w:sz w:val="18"/>
            <w:szCs w:val="18"/>
          </w:rPr>
          <w:t>https://doi.org/10.1080/14615517.2012.663256</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AC01D14"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7283752" w14:textId="49214AC6"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Adelle, C., Weiland, S., Dick, J., </w:t>
      </w:r>
      <w:proofErr w:type="spellStart"/>
      <w:r w:rsidRPr="00210EEC">
        <w:rPr>
          <w:rFonts w:asciiTheme="minorHAnsi" w:hAnsiTheme="minorHAnsi" w:cs="Segoe UI"/>
          <w:sz w:val="18"/>
          <w:szCs w:val="18"/>
        </w:rPr>
        <w:t>Olivo</w:t>
      </w:r>
      <w:proofErr w:type="spellEnd"/>
      <w:r w:rsidRPr="00210EEC">
        <w:rPr>
          <w:rFonts w:asciiTheme="minorHAnsi" w:hAnsiTheme="minorHAnsi" w:cs="Segoe UI"/>
          <w:sz w:val="18"/>
          <w:szCs w:val="18"/>
        </w:rPr>
        <w:t>, D.G., Marquardt, J., Rots, G.</w:t>
      </w:r>
      <w:r w:rsidRPr="00210EEC">
        <w:rPr>
          <w:rFonts w:asciiTheme="minorHAnsi" w:hAnsiTheme="minorHAnsi" w:cs="Segoe UI"/>
          <w:i/>
          <w:iCs/>
          <w:sz w:val="18"/>
          <w:szCs w:val="18"/>
        </w:rPr>
        <w:t xml:space="preserve"> et al.</w:t>
      </w:r>
      <w:r w:rsidRPr="00210EEC">
        <w:rPr>
          <w:rFonts w:asciiTheme="minorHAnsi" w:hAnsiTheme="minorHAnsi" w:cs="Segoe UI"/>
          <w:sz w:val="18"/>
          <w:szCs w:val="18"/>
        </w:rPr>
        <w:t xml:space="preserve"> (2016). Regulatory impact assessment: A survey of selected developing and emerging economies. </w:t>
      </w:r>
      <w:r w:rsidRPr="00210EEC">
        <w:rPr>
          <w:rFonts w:asciiTheme="minorHAnsi" w:hAnsiTheme="minorHAnsi" w:cs="Segoe UI"/>
          <w:i/>
          <w:iCs/>
          <w:sz w:val="18"/>
          <w:szCs w:val="18"/>
        </w:rPr>
        <w:t>Public Money &amp; Management</w:t>
      </w:r>
      <w:r w:rsidRPr="00210EEC">
        <w:rPr>
          <w:rFonts w:asciiTheme="minorHAnsi" w:hAnsiTheme="minorHAnsi" w:cs="Segoe UI"/>
          <w:sz w:val="18"/>
          <w:szCs w:val="18"/>
        </w:rPr>
        <w:t xml:space="preserve"> 36(2), 89-96. </w:t>
      </w:r>
      <w:hyperlink r:id="rId17" w:history="1">
        <w:r w:rsidR="00210EEC" w:rsidRPr="003D09EF">
          <w:rPr>
            <w:rStyle w:val="Hyperlink"/>
            <w:rFonts w:asciiTheme="minorHAnsi" w:hAnsiTheme="minorHAnsi" w:cs="Segoe UI"/>
            <w:sz w:val="18"/>
            <w:szCs w:val="18"/>
          </w:rPr>
          <w:t>https://doi.org/10.1080/09540962.2016.1118930</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CDF2153"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70E5381" w14:textId="0E237D91"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Adger</w:t>
      </w:r>
      <w:proofErr w:type="spellEnd"/>
      <w:r w:rsidRPr="00210EEC">
        <w:rPr>
          <w:rFonts w:asciiTheme="minorHAnsi" w:hAnsiTheme="minorHAnsi" w:cs="Segoe UI"/>
          <w:sz w:val="18"/>
          <w:szCs w:val="18"/>
        </w:rPr>
        <w:t xml:space="preserve">, W.N., Brown, K. and Tompkins, E.L. (2005). The political economy of cross-scale networks in resource co-management. </w:t>
      </w:r>
      <w:r w:rsidRPr="00210EEC">
        <w:rPr>
          <w:rFonts w:asciiTheme="minorHAnsi" w:hAnsiTheme="minorHAnsi" w:cs="Segoe UI"/>
          <w:i/>
          <w:iCs/>
          <w:sz w:val="18"/>
          <w:szCs w:val="18"/>
        </w:rPr>
        <w:t>Ecology and Society</w:t>
      </w:r>
      <w:r w:rsidRPr="00210EEC">
        <w:rPr>
          <w:rFonts w:asciiTheme="minorHAnsi" w:hAnsiTheme="minorHAnsi" w:cs="Segoe UI"/>
          <w:sz w:val="18"/>
          <w:szCs w:val="18"/>
        </w:rPr>
        <w:t xml:space="preserve"> 10(2). </w:t>
      </w:r>
      <w:hyperlink r:id="rId18" w:history="1">
        <w:r w:rsidR="00210EEC" w:rsidRPr="003D09EF">
          <w:rPr>
            <w:rStyle w:val="Hyperlink"/>
            <w:rFonts w:asciiTheme="minorHAnsi" w:hAnsiTheme="minorHAnsi" w:cs="Segoe UI"/>
            <w:sz w:val="18"/>
            <w:szCs w:val="18"/>
          </w:rPr>
          <w:t>https://doi.org/10.5751/ES-01465-100209</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BA65A59"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7E4E40C" w14:textId="34BFA39B"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Alizada, K. (2017). </w:t>
      </w:r>
      <w:r w:rsidRPr="00210EEC">
        <w:rPr>
          <w:rFonts w:asciiTheme="minorHAnsi" w:hAnsiTheme="minorHAnsi" w:cs="Segoe UI"/>
          <w:i/>
          <w:iCs/>
          <w:sz w:val="18"/>
          <w:szCs w:val="18"/>
        </w:rPr>
        <w:t>Diffusion of Renewable Energy Policies.</w:t>
      </w:r>
      <w:r w:rsidRPr="00210EEC">
        <w:rPr>
          <w:rFonts w:asciiTheme="minorHAnsi" w:hAnsiTheme="minorHAnsi" w:cs="Segoe UI"/>
          <w:sz w:val="18"/>
          <w:szCs w:val="18"/>
        </w:rPr>
        <w:t xml:space="preserve"> Doctor of Philosophy (PhD), Old Dominion University </w:t>
      </w:r>
      <w:hyperlink r:id="rId19" w:history="1">
        <w:r w:rsidR="00210EEC" w:rsidRPr="003D09EF">
          <w:rPr>
            <w:rStyle w:val="Hyperlink"/>
            <w:rFonts w:asciiTheme="minorHAnsi" w:hAnsiTheme="minorHAnsi" w:cs="Segoe UI"/>
            <w:sz w:val="18"/>
            <w:szCs w:val="18"/>
          </w:rPr>
          <w:t>https://digitalcommons.odu.edu/cgi/viewcontent.cgi?article=1015&amp;context=gpis_etds</w:t>
        </w:r>
      </w:hyperlink>
      <w:r w:rsidR="00210EEC">
        <w:rPr>
          <w:rFonts w:asciiTheme="minorHAnsi" w:hAnsiTheme="minorHAnsi" w:cs="Segoe UI"/>
          <w:sz w:val="18"/>
          <w:szCs w:val="18"/>
        </w:rPr>
        <w:t xml:space="preserve"> </w:t>
      </w:r>
      <w:r w:rsidRPr="00210EEC">
        <w:rPr>
          <w:rFonts w:asciiTheme="minorHAnsi" w:hAnsiTheme="minorHAnsi" w:cs="Segoe UI"/>
          <w:sz w:val="18"/>
          <w:szCs w:val="18"/>
        </w:rPr>
        <w:t xml:space="preserve">  </w:t>
      </w:r>
      <w:r w:rsidR="00210EEC">
        <w:rPr>
          <w:rFonts w:asciiTheme="minorHAnsi" w:hAnsiTheme="minorHAnsi" w:cs="Segoe UI"/>
          <w:sz w:val="18"/>
          <w:szCs w:val="18"/>
        </w:rPr>
        <w:t xml:space="preserve"> </w:t>
      </w:r>
    </w:p>
    <w:p w14:paraId="430D606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338F4AF" w14:textId="7E90B48B"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Ambec</w:t>
      </w:r>
      <w:proofErr w:type="spellEnd"/>
      <w:r w:rsidRPr="00210EEC">
        <w:rPr>
          <w:rFonts w:asciiTheme="minorHAnsi" w:hAnsiTheme="minorHAnsi" w:cs="Segoe UI"/>
          <w:sz w:val="18"/>
          <w:szCs w:val="18"/>
        </w:rPr>
        <w:t xml:space="preserve">, S. and </w:t>
      </w:r>
      <w:proofErr w:type="spellStart"/>
      <w:r w:rsidRPr="00210EEC">
        <w:rPr>
          <w:rFonts w:asciiTheme="minorHAnsi" w:hAnsiTheme="minorHAnsi" w:cs="Segoe UI"/>
          <w:sz w:val="18"/>
          <w:szCs w:val="18"/>
        </w:rPr>
        <w:t>Barla</w:t>
      </w:r>
      <w:proofErr w:type="spellEnd"/>
      <w:r w:rsidRPr="00210EEC">
        <w:rPr>
          <w:rFonts w:asciiTheme="minorHAnsi" w:hAnsiTheme="minorHAnsi" w:cs="Segoe UI"/>
          <w:sz w:val="18"/>
          <w:szCs w:val="18"/>
        </w:rPr>
        <w:t xml:space="preserve">, P. (2002). A theoretical foundation of the Porter hypothesis. </w:t>
      </w:r>
      <w:r w:rsidRPr="00210EEC">
        <w:rPr>
          <w:rFonts w:asciiTheme="minorHAnsi" w:hAnsiTheme="minorHAnsi" w:cs="Segoe UI"/>
          <w:i/>
          <w:iCs/>
          <w:sz w:val="18"/>
          <w:szCs w:val="18"/>
        </w:rPr>
        <w:t>Economics Letters</w:t>
      </w:r>
      <w:r w:rsidRPr="00210EEC">
        <w:rPr>
          <w:rFonts w:asciiTheme="minorHAnsi" w:hAnsiTheme="minorHAnsi" w:cs="Segoe UI"/>
          <w:sz w:val="18"/>
          <w:szCs w:val="18"/>
        </w:rPr>
        <w:t xml:space="preserve"> 75(3), 355-360. </w:t>
      </w:r>
      <w:hyperlink r:id="rId20" w:history="1">
        <w:r w:rsidR="00210EEC" w:rsidRPr="003D09EF">
          <w:rPr>
            <w:rStyle w:val="Hyperlink"/>
            <w:rFonts w:asciiTheme="minorHAnsi" w:hAnsiTheme="minorHAnsi" w:cs="Segoe UI"/>
            <w:sz w:val="18"/>
            <w:szCs w:val="18"/>
          </w:rPr>
          <w:t>https://doi.org/10.1016/s0165-1765(02)00005-8</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B0FDB87"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A65B0EB" w14:textId="4A35192F"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Ambec</w:t>
      </w:r>
      <w:proofErr w:type="spellEnd"/>
      <w:r w:rsidRPr="00210EEC">
        <w:rPr>
          <w:rFonts w:asciiTheme="minorHAnsi" w:hAnsiTheme="minorHAnsi" w:cs="Segoe UI"/>
          <w:sz w:val="18"/>
          <w:szCs w:val="18"/>
        </w:rPr>
        <w:t xml:space="preserve">, S., Cohen, M.A., </w:t>
      </w:r>
      <w:proofErr w:type="spellStart"/>
      <w:r w:rsidRPr="00210EEC">
        <w:rPr>
          <w:rFonts w:asciiTheme="minorHAnsi" w:hAnsiTheme="minorHAnsi" w:cs="Segoe UI"/>
          <w:sz w:val="18"/>
          <w:szCs w:val="18"/>
        </w:rPr>
        <w:t>Elgie</w:t>
      </w:r>
      <w:proofErr w:type="spellEnd"/>
      <w:r w:rsidRPr="00210EEC">
        <w:rPr>
          <w:rFonts w:asciiTheme="minorHAnsi" w:hAnsiTheme="minorHAnsi" w:cs="Segoe UI"/>
          <w:sz w:val="18"/>
          <w:szCs w:val="18"/>
        </w:rPr>
        <w:t xml:space="preserve">, S. and </w:t>
      </w:r>
      <w:proofErr w:type="spellStart"/>
      <w:r w:rsidRPr="00210EEC">
        <w:rPr>
          <w:rFonts w:asciiTheme="minorHAnsi" w:hAnsiTheme="minorHAnsi" w:cs="Segoe UI"/>
          <w:sz w:val="18"/>
          <w:szCs w:val="18"/>
        </w:rPr>
        <w:t>Lanoie</w:t>
      </w:r>
      <w:proofErr w:type="spellEnd"/>
      <w:r w:rsidRPr="00210EEC">
        <w:rPr>
          <w:rFonts w:asciiTheme="minorHAnsi" w:hAnsiTheme="minorHAnsi" w:cs="Segoe UI"/>
          <w:sz w:val="18"/>
          <w:szCs w:val="18"/>
        </w:rPr>
        <w:t xml:space="preserve">, P. (2013). The Porter Hypothesis at 20: Can environmental regulation enhance innovation and competitiveness? </w:t>
      </w:r>
      <w:r w:rsidRPr="00210EEC">
        <w:rPr>
          <w:rFonts w:asciiTheme="minorHAnsi" w:hAnsiTheme="minorHAnsi" w:cs="Segoe UI"/>
          <w:i/>
          <w:iCs/>
          <w:sz w:val="18"/>
          <w:szCs w:val="18"/>
        </w:rPr>
        <w:t>Review of Environmental Economics and Policy</w:t>
      </w:r>
      <w:r w:rsidRPr="00210EEC">
        <w:rPr>
          <w:rFonts w:asciiTheme="minorHAnsi" w:hAnsiTheme="minorHAnsi" w:cs="Segoe UI"/>
          <w:sz w:val="18"/>
          <w:szCs w:val="18"/>
        </w:rPr>
        <w:t xml:space="preserve"> 7(1), 2-22. </w:t>
      </w:r>
      <w:hyperlink r:id="rId21" w:history="1">
        <w:r w:rsidR="00210EEC" w:rsidRPr="003D09EF">
          <w:rPr>
            <w:rStyle w:val="Hyperlink"/>
            <w:rFonts w:asciiTheme="minorHAnsi" w:hAnsiTheme="minorHAnsi" w:cs="Segoe UI"/>
            <w:sz w:val="18"/>
            <w:szCs w:val="18"/>
          </w:rPr>
          <w:t>https://doi.org/10.1093/reep/res016</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0A411059" w14:textId="4E35A835" w:rsidR="00796229" w:rsidRPr="00210EEC" w:rsidRDefault="00210EEC" w:rsidP="00796229">
      <w:pPr>
        <w:widowControl w:val="0"/>
        <w:autoSpaceDE w:val="0"/>
        <w:autoSpaceDN w:val="0"/>
        <w:adjustRightInd w:val="0"/>
        <w:spacing w:after="0" w:line="240" w:lineRule="auto"/>
        <w:rPr>
          <w:rFonts w:asciiTheme="minorHAnsi" w:hAnsiTheme="minorHAnsi" w:cs="Segoe UI"/>
          <w:sz w:val="18"/>
          <w:szCs w:val="18"/>
        </w:rPr>
      </w:pPr>
      <w:r>
        <w:rPr>
          <w:rFonts w:asciiTheme="minorHAnsi" w:hAnsiTheme="minorHAnsi" w:cs="Segoe UI"/>
          <w:sz w:val="18"/>
          <w:szCs w:val="18"/>
        </w:rPr>
        <w:t xml:space="preserve"> </w:t>
      </w:r>
    </w:p>
    <w:p w14:paraId="7D1CEC29" w14:textId="50BCC40A"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Andonova</w:t>
      </w:r>
      <w:proofErr w:type="spellEnd"/>
      <w:r w:rsidRPr="00210EEC">
        <w:rPr>
          <w:rFonts w:asciiTheme="minorHAnsi" w:hAnsiTheme="minorHAnsi" w:cs="Segoe UI"/>
          <w:sz w:val="18"/>
          <w:szCs w:val="18"/>
        </w:rPr>
        <w:t xml:space="preserve">, L.B. (2017). </w:t>
      </w:r>
      <w:r w:rsidRPr="00210EEC">
        <w:rPr>
          <w:rFonts w:asciiTheme="minorHAnsi" w:hAnsiTheme="minorHAnsi" w:cs="Segoe UI"/>
          <w:i/>
          <w:iCs/>
          <w:sz w:val="18"/>
          <w:szCs w:val="18"/>
        </w:rPr>
        <w:t>Governance Entrepreneurs: International Organizations and the Rise of Global Public-Private Partnerships.</w:t>
      </w:r>
      <w:r w:rsidRPr="00210EEC">
        <w:rPr>
          <w:rFonts w:asciiTheme="minorHAnsi" w:hAnsiTheme="minorHAnsi" w:cs="Segoe UI"/>
          <w:sz w:val="18"/>
          <w:szCs w:val="18"/>
        </w:rPr>
        <w:t xml:space="preserve"> New York, NY: Cambridge University Press. </w:t>
      </w:r>
      <w:hyperlink r:id="rId22" w:history="1">
        <w:r w:rsidR="00210EEC" w:rsidRPr="003D09EF">
          <w:rPr>
            <w:rStyle w:val="Hyperlink"/>
            <w:rFonts w:asciiTheme="minorHAnsi" w:hAnsiTheme="minorHAnsi" w:cs="Segoe UI"/>
            <w:sz w:val="18"/>
            <w:szCs w:val="18"/>
          </w:rPr>
          <w:t>https://www.cambridge.org/core/books/governance-entrepreneurs/70BCBC8857B11FB1593A6767993AC62B</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99CEC2F"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41DBAB0" w14:textId="13570A04"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Bäcklund</w:t>
      </w:r>
      <w:proofErr w:type="spellEnd"/>
      <w:r w:rsidRPr="00210EEC">
        <w:rPr>
          <w:rFonts w:asciiTheme="minorHAnsi" w:hAnsiTheme="minorHAnsi" w:cs="Segoe UI"/>
          <w:sz w:val="18"/>
          <w:szCs w:val="18"/>
        </w:rPr>
        <w:t xml:space="preserve">, A.-K. (2009). Impact assessment in the European Commission- a system with multiple objectives. </w:t>
      </w:r>
      <w:r w:rsidRPr="00210EEC">
        <w:rPr>
          <w:rFonts w:asciiTheme="minorHAnsi" w:hAnsiTheme="minorHAnsi" w:cs="Segoe UI"/>
          <w:i/>
          <w:iCs/>
          <w:sz w:val="18"/>
          <w:szCs w:val="18"/>
        </w:rPr>
        <w:t>Environmental Science &amp; Policy</w:t>
      </w:r>
      <w:r w:rsidRPr="00210EEC">
        <w:rPr>
          <w:rFonts w:asciiTheme="minorHAnsi" w:hAnsiTheme="minorHAnsi" w:cs="Segoe UI"/>
          <w:sz w:val="18"/>
          <w:szCs w:val="18"/>
        </w:rPr>
        <w:t xml:space="preserve"> 12(8), 1077-1087. </w:t>
      </w:r>
      <w:hyperlink r:id="rId23" w:history="1">
        <w:r w:rsidR="00210EEC" w:rsidRPr="003D09EF">
          <w:rPr>
            <w:rStyle w:val="Hyperlink"/>
            <w:rFonts w:asciiTheme="minorHAnsi" w:hAnsiTheme="minorHAnsi" w:cs="Segoe UI"/>
            <w:sz w:val="18"/>
            <w:szCs w:val="18"/>
          </w:rPr>
          <w:t>https://doi.org/10.1016/j.envsci.2009.04.003</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38FD631"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018F124" w14:textId="11B8F535"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Baumgartner, F.R. and Jones, B.D. (2009). </w:t>
      </w:r>
      <w:r w:rsidRPr="00210EEC">
        <w:rPr>
          <w:rFonts w:asciiTheme="minorHAnsi" w:hAnsiTheme="minorHAnsi" w:cs="Segoe UI"/>
          <w:i/>
          <w:iCs/>
          <w:sz w:val="18"/>
          <w:szCs w:val="18"/>
        </w:rPr>
        <w:t>Agendas and Instability in American Politics.</w:t>
      </w:r>
      <w:r w:rsidRPr="00210EEC">
        <w:rPr>
          <w:rFonts w:asciiTheme="minorHAnsi" w:hAnsiTheme="minorHAnsi" w:cs="Segoe UI"/>
          <w:sz w:val="18"/>
          <w:szCs w:val="18"/>
        </w:rPr>
        <w:t xml:space="preserve"> </w:t>
      </w:r>
      <w:r w:rsidRPr="00210EEC">
        <w:rPr>
          <w:rFonts w:asciiTheme="minorHAnsi" w:hAnsiTheme="minorHAnsi" w:cs="Segoe UI"/>
          <w:i/>
          <w:iCs/>
          <w:sz w:val="18"/>
          <w:szCs w:val="18"/>
        </w:rPr>
        <w:t>2nd</w:t>
      </w:r>
      <w:r w:rsidRPr="00210EEC">
        <w:rPr>
          <w:rFonts w:asciiTheme="minorHAnsi" w:hAnsiTheme="minorHAnsi" w:cs="Segoe UI"/>
          <w:sz w:val="18"/>
          <w:szCs w:val="18"/>
        </w:rPr>
        <w:t xml:space="preserve"> </w:t>
      </w:r>
      <w:proofErr w:type="spellStart"/>
      <w:r w:rsidRPr="00210EEC">
        <w:rPr>
          <w:rFonts w:asciiTheme="minorHAnsi" w:hAnsiTheme="minorHAnsi" w:cs="Segoe UI"/>
          <w:sz w:val="18"/>
          <w:szCs w:val="18"/>
        </w:rPr>
        <w:t>edn</w:t>
      </w:r>
      <w:proofErr w:type="spellEnd"/>
      <w:r w:rsidRPr="00210EEC">
        <w:rPr>
          <w:rFonts w:asciiTheme="minorHAnsi" w:hAnsiTheme="minorHAnsi" w:cs="Segoe UI"/>
          <w:sz w:val="18"/>
          <w:szCs w:val="18"/>
        </w:rPr>
        <w:t xml:space="preserve">. American Politics and Political Economy Series. Chicago, IL: The University of Chicago Press. </w:t>
      </w:r>
      <w:hyperlink r:id="rId24" w:history="1">
        <w:r w:rsidR="00210EEC" w:rsidRPr="003D09EF">
          <w:rPr>
            <w:rStyle w:val="Hyperlink"/>
            <w:rFonts w:asciiTheme="minorHAnsi" w:hAnsiTheme="minorHAnsi" w:cs="Segoe UI"/>
            <w:sz w:val="18"/>
            <w:szCs w:val="18"/>
          </w:rPr>
          <w:t>http://press.uchicago.edu/ucp/books/book/chicago/A/bo6763995.html</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7E7B5AA"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F310E74" w14:textId="6AA457B1"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Bernauer</w:t>
      </w:r>
      <w:proofErr w:type="spellEnd"/>
      <w:r w:rsidRPr="00210EEC">
        <w:rPr>
          <w:rFonts w:asciiTheme="minorHAnsi" w:hAnsiTheme="minorHAnsi" w:cs="Segoe UI"/>
          <w:sz w:val="18"/>
          <w:szCs w:val="18"/>
        </w:rPr>
        <w:t xml:space="preserve">, T. (1995). The effect of international environmental institutions: How we might learn more. </w:t>
      </w:r>
      <w:r w:rsidRPr="00210EEC">
        <w:rPr>
          <w:rFonts w:asciiTheme="minorHAnsi" w:hAnsiTheme="minorHAnsi" w:cs="Segoe UI"/>
          <w:i/>
          <w:iCs/>
          <w:sz w:val="18"/>
          <w:szCs w:val="18"/>
        </w:rPr>
        <w:t>International Organization</w:t>
      </w:r>
      <w:r w:rsidRPr="00210EEC">
        <w:rPr>
          <w:rFonts w:asciiTheme="minorHAnsi" w:hAnsiTheme="minorHAnsi" w:cs="Segoe UI"/>
          <w:sz w:val="18"/>
          <w:szCs w:val="18"/>
        </w:rPr>
        <w:t xml:space="preserve"> 49(2), 351-377. </w:t>
      </w:r>
      <w:hyperlink r:id="rId25" w:history="1">
        <w:r w:rsidR="00210EEC" w:rsidRPr="003D09EF">
          <w:rPr>
            <w:rStyle w:val="Hyperlink"/>
            <w:rFonts w:asciiTheme="minorHAnsi" w:hAnsiTheme="minorHAnsi" w:cs="Segoe UI"/>
            <w:sz w:val="18"/>
            <w:szCs w:val="18"/>
          </w:rPr>
          <w:t>https://doi.org/10.1017/s0020818300028423</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8044DD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82BC2F9" w14:textId="6F525BB2"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Bernauer</w:t>
      </w:r>
      <w:proofErr w:type="spellEnd"/>
      <w:r w:rsidRPr="00210EEC">
        <w:rPr>
          <w:rFonts w:asciiTheme="minorHAnsi" w:hAnsiTheme="minorHAnsi" w:cs="Segoe UI"/>
          <w:sz w:val="18"/>
          <w:szCs w:val="18"/>
        </w:rPr>
        <w:t xml:space="preserve">, T., </w:t>
      </w:r>
      <w:proofErr w:type="spellStart"/>
      <w:r w:rsidRPr="00210EEC">
        <w:rPr>
          <w:rFonts w:asciiTheme="minorHAnsi" w:hAnsiTheme="minorHAnsi" w:cs="Segoe UI"/>
          <w:sz w:val="18"/>
          <w:szCs w:val="18"/>
        </w:rPr>
        <w:t>Kalbhenn</w:t>
      </w:r>
      <w:proofErr w:type="spellEnd"/>
      <w:r w:rsidRPr="00210EEC">
        <w:rPr>
          <w:rFonts w:asciiTheme="minorHAnsi" w:hAnsiTheme="minorHAnsi" w:cs="Segoe UI"/>
          <w:sz w:val="18"/>
          <w:szCs w:val="18"/>
        </w:rPr>
        <w:t xml:space="preserve">, A., </w:t>
      </w:r>
      <w:proofErr w:type="spellStart"/>
      <w:r w:rsidRPr="00210EEC">
        <w:rPr>
          <w:rFonts w:asciiTheme="minorHAnsi" w:hAnsiTheme="minorHAnsi" w:cs="Segoe UI"/>
          <w:sz w:val="18"/>
          <w:szCs w:val="18"/>
        </w:rPr>
        <w:t>Koubi</w:t>
      </w:r>
      <w:proofErr w:type="spellEnd"/>
      <w:r w:rsidRPr="00210EEC">
        <w:rPr>
          <w:rFonts w:asciiTheme="minorHAnsi" w:hAnsiTheme="minorHAnsi" w:cs="Segoe UI"/>
          <w:sz w:val="18"/>
          <w:szCs w:val="18"/>
        </w:rPr>
        <w:t xml:space="preserve">, V. and </w:t>
      </w:r>
      <w:proofErr w:type="spellStart"/>
      <w:r w:rsidRPr="00210EEC">
        <w:rPr>
          <w:rFonts w:asciiTheme="minorHAnsi" w:hAnsiTheme="minorHAnsi" w:cs="Segoe UI"/>
          <w:sz w:val="18"/>
          <w:szCs w:val="18"/>
        </w:rPr>
        <w:t>Spilker</w:t>
      </w:r>
      <w:proofErr w:type="spellEnd"/>
      <w:r w:rsidRPr="00210EEC">
        <w:rPr>
          <w:rFonts w:asciiTheme="minorHAnsi" w:hAnsiTheme="minorHAnsi" w:cs="Segoe UI"/>
          <w:sz w:val="18"/>
          <w:szCs w:val="18"/>
        </w:rPr>
        <w:t xml:space="preserve">, G. (2013). Is there a “Depth versus Participation” dilemma in international cooperation? </w:t>
      </w:r>
      <w:r w:rsidRPr="00210EEC">
        <w:rPr>
          <w:rFonts w:asciiTheme="minorHAnsi" w:hAnsiTheme="minorHAnsi" w:cs="Segoe UI"/>
          <w:i/>
          <w:iCs/>
          <w:sz w:val="18"/>
          <w:szCs w:val="18"/>
        </w:rPr>
        <w:t>The Review of International Organizations</w:t>
      </w:r>
      <w:r w:rsidRPr="00210EEC">
        <w:rPr>
          <w:rFonts w:asciiTheme="minorHAnsi" w:hAnsiTheme="minorHAnsi" w:cs="Segoe UI"/>
          <w:sz w:val="18"/>
          <w:szCs w:val="18"/>
        </w:rPr>
        <w:t xml:space="preserve"> 8(4), 477-497. </w:t>
      </w:r>
      <w:hyperlink r:id="rId26" w:history="1">
        <w:r w:rsidR="00210EEC" w:rsidRPr="003D09EF">
          <w:rPr>
            <w:rStyle w:val="Hyperlink"/>
            <w:rFonts w:asciiTheme="minorHAnsi" w:hAnsiTheme="minorHAnsi" w:cs="Segoe UI"/>
            <w:sz w:val="18"/>
            <w:szCs w:val="18"/>
          </w:rPr>
          <w:t>https://doi.org/10.1007/s11558-013-9165-1</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1E379F6"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ECAB259" w14:textId="46890599"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Biesenbender</w:t>
      </w:r>
      <w:proofErr w:type="spellEnd"/>
      <w:r w:rsidRPr="00210EEC">
        <w:rPr>
          <w:rFonts w:asciiTheme="minorHAnsi" w:hAnsiTheme="minorHAnsi" w:cs="Segoe UI"/>
          <w:sz w:val="18"/>
          <w:szCs w:val="18"/>
        </w:rPr>
        <w:t xml:space="preserve">, S. and </w:t>
      </w:r>
      <w:proofErr w:type="spellStart"/>
      <w:r w:rsidRPr="00210EEC">
        <w:rPr>
          <w:rFonts w:asciiTheme="minorHAnsi" w:hAnsiTheme="minorHAnsi" w:cs="Segoe UI"/>
          <w:sz w:val="18"/>
          <w:szCs w:val="18"/>
        </w:rPr>
        <w:t>Tosun</w:t>
      </w:r>
      <w:proofErr w:type="spellEnd"/>
      <w:r w:rsidRPr="00210EEC">
        <w:rPr>
          <w:rFonts w:asciiTheme="minorHAnsi" w:hAnsiTheme="minorHAnsi" w:cs="Segoe UI"/>
          <w:sz w:val="18"/>
          <w:szCs w:val="18"/>
        </w:rPr>
        <w:t xml:space="preserve">, J. (2014). Domestic politics and the diffusion of international policy innovations: How does accommodation happen? </w:t>
      </w:r>
      <w:r w:rsidRPr="00210EEC">
        <w:rPr>
          <w:rFonts w:asciiTheme="minorHAnsi" w:hAnsiTheme="minorHAnsi" w:cs="Segoe UI"/>
          <w:i/>
          <w:iCs/>
          <w:sz w:val="18"/>
          <w:szCs w:val="18"/>
        </w:rPr>
        <w:t>Global Environmental Change-Human and Policy Dimensions</w:t>
      </w:r>
      <w:r w:rsidRPr="00210EEC">
        <w:rPr>
          <w:rFonts w:asciiTheme="minorHAnsi" w:hAnsiTheme="minorHAnsi" w:cs="Segoe UI"/>
          <w:sz w:val="18"/>
          <w:szCs w:val="18"/>
        </w:rPr>
        <w:t xml:space="preserve"> 29, 424-433. </w:t>
      </w:r>
      <w:hyperlink r:id="rId27" w:history="1">
        <w:r w:rsidR="00210EEC" w:rsidRPr="003D09EF">
          <w:rPr>
            <w:rStyle w:val="Hyperlink"/>
            <w:rFonts w:asciiTheme="minorHAnsi" w:hAnsiTheme="minorHAnsi" w:cs="Segoe UI"/>
            <w:sz w:val="18"/>
            <w:szCs w:val="18"/>
          </w:rPr>
          <w:t>https://doi.org/10.1016/j.gloenvcha.2014.04.001</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128F451"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B31CE85" w14:textId="4459ED22"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Breitmeier</w:t>
      </w:r>
      <w:proofErr w:type="spellEnd"/>
      <w:r w:rsidRPr="00210EEC">
        <w:rPr>
          <w:rFonts w:asciiTheme="minorHAnsi" w:hAnsiTheme="minorHAnsi" w:cs="Segoe UI"/>
          <w:sz w:val="18"/>
          <w:szCs w:val="18"/>
        </w:rPr>
        <w:t xml:space="preserve">, H., </w:t>
      </w:r>
      <w:proofErr w:type="spellStart"/>
      <w:r w:rsidRPr="00210EEC">
        <w:rPr>
          <w:rFonts w:asciiTheme="minorHAnsi" w:hAnsiTheme="minorHAnsi" w:cs="Segoe UI"/>
          <w:sz w:val="18"/>
          <w:szCs w:val="18"/>
        </w:rPr>
        <w:t>Underdal</w:t>
      </w:r>
      <w:proofErr w:type="spellEnd"/>
      <w:r w:rsidRPr="00210EEC">
        <w:rPr>
          <w:rFonts w:asciiTheme="minorHAnsi" w:hAnsiTheme="minorHAnsi" w:cs="Segoe UI"/>
          <w:sz w:val="18"/>
          <w:szCs w:val="18"/>
        </w:rPr>
        <w:t xml:space="preserve">, A. and Young, O.R. (2011). The effectiveness of international environmental regimes: Comparing and contrasting findings from quantitative research. </w:t>
      </w:r>
      <w:r w:rsidRPr="00210EEC">
        <w:rPr>
          <w:rFonts w:asciiTheme="minorHAnsi" w:hAnsiTheme="minorHAnsi" w:cs="Segoe UI"/>
          <w:i/>
          <w:iCs/>
          <w:sz w:val="18"/>
          <w:szCs w:val="18"/>
        </w:rPr>
        <w:t>International Studies Review</w:t>
      </w:r>
      <w:r w:rsidRPr="00210EEC">
        <w:rPr>
          <w:rFonts w:asciiTheme="minorHAnsi" w:hAnsiTheme="minorHAnsi" w:cs="Segoe UI"/>
          <w:sz w:val="18"/>
          <w:szCs w:val="18"/>
        </w:rPr>
        <w:t xml:space="preserve"> 13(4), 579-605. </w:t>
      </w:r>
      <w:hyperlink r:id="rId28" w:history="1">
        <w:r w:rsidR="00210EEC" w:rsidRPr="003D09EF">
          <w:rPr>
            <w:rStyle w:val="Hyperlink"/>
            <w:rFonts w:asciiTheme="minorHAnsi" w:hAnsiTheme="minorHAnsi" w:cs="Segoe UI"/>
            <w:sz w:val="18"/>
            <w:szCs w:val="18"/>
          </w:rPr>
          <w:t>https://doi.org/10.1111/j.1468-2486.2011.01045.x</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0CCB156"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7BC1518" w14:textId="3D9B9EC1"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Calliess</w:t>
      </w:r>
      <w:proofErr w:type="spellEnd"/>
      <w:r w:rsidRPr="00210EEC">
        <w:rPr>
          <w:rFonts w:asciiTheme="minorHAnsi" w:hAnsiTheme="minorHAnsi" w:cs="Segoe UI"/>
          <w:sz w:val="18"/>
          <w:szCs w:val="18"/>
        </w:rPr>
        <w:t xml:space="preserve">, C. (2001). </w:t>
      </w:r>
      <w:proofErr w:type="spellStart"/>
      <w:r w:rsidRPr="00210EEC">
        <w:rPr>
          <w:rFonts w:asciiTheme="minorHAnsi" w:hAnsiTheme="minorHAnsi" w:cs="Segoe UI"/>
          <w:i/>
          <w:iCs/>
          <w:sz w:val="18"/>
          <w:szCs w:val="18"/>
        </w:rPr>
        <w:t>Rechtsstaat</w:t>
      </w:r>
      <w:proofErr w:type="spellEnd"/>
      <w:r w:rsidRPr="00210EEC">
        <w:rPr>
          <w:rFonts w:asciiTheme="minorHAnsi" w:hAnsiTheme="minorHAnsi" w:cs="Segoe UI"/>
          <w:i/>
          <w:iCs/>
          <w:sz w:val="18"/>
          <w:szCs w:val="18"/>
        </w:rPr>
        <w:t xml:space="preserve"> und </w:t>
      </w:r>
      <w:proofErr w:type="spellStart"/>
      <w:r w:rsidRPr="00210EEC">
        <w:rPr>
          <w:rFonts w:asciiTheme="minorHAnsi" w:hAnsiTheme="minorHAnsi" w:cs="Segoe UI"/>
          <w:i/>
          <w:iCs/>
          <w:sz w:val="18"/>
          <w:szCs w:val="18"/>
        </w:rPr>
        <w:t>Umweltstaat</w:t>
      </w:r>
      <w:proofErr w:type="spellEnd"/>
      <w:r w:rsidRPr="00210EEC">
        <w:rPr>
          <w:rFonts w:asciiTheme="minorHAnsi" w:hAnsiTheme="minorHAnsi" w:cs="Segoe UI"/>
          <w:i/>
          <w:iCs/>
          <w:sz w:val="18"/>
          <w:szCs w:val="18"/>
        </w:rPr>
        <w:t xml:space="preserve">: </w:t>
      </w:r>
      <w:proofErr w:type="spellStart"/>
      <w:r w:rsidRPr="00210EEC">
        <w:rPr>
          <w:rFonts w:asciiTheme="minorHAnsi" w:hAnsiTheme="minorHAnsi" w:cs="Segoe UI"/>
          <w:i/>
          <w:iCs/>
          <w:sz w:val="18"/>
          <w:szCs w:val="18"/>
        </w:rPr>
        <w:t>Zugleich</w:t>
      </w:r>
      <w:proofErr w:type="spellEnd"/>
      <w:r w:rsidRPr="00210EEC">
        <w:rPr>
          <w:rFonts w:asciiTheme="minorHAnsi" w:hAnsiTheme="minorHAnsi" w:cs="Segoe UI"/>
          <w:i/>
          <w:iCs/>
          <w:sz w:val="18"/>
          <w:szCs w:val="18"/>
        </w:rPr>
        <w:t xml:space="preserve"> </w:t>
      </w:r>
      <w:proofErr w:type="spellStart"/>
      <w:r w:rsidRPr="00210EEC">
        <w:rPr>
          <w:rFonts w:asciiTheme="minorHAnsi" w:hAnsiTheme="minorHAnsi" w:cs="Segoe UI"/>
          <w:i/>
          <w:iCs/>
          <w:sz w:val="18"/>
          <w:szCs w:val="18"/>
        </w:rPr>
        <w:t>ein</w:t>
      </w:r>
      <w:proofErr w:type="spellEnd"/>
      <w:r w:rsidRPr="00210EEC">
        <w:rPr>
          <w:rFonts w:asciiTheme="minorHAnsi" w:hAnsiTheme="minorHAnsi" w:cs="Segoe UI"/>
          <w:i/>
          <w:iCs/>
          <w:sz w:val="18"/>
          <w:szCs w:val="18"/>
        </w:rPr>
        <w:t xml:space="preserve"> </w:t>
      </w:r>
      <w:proofErr w:type="spellStart"/>
      <w:r w:rsidRPr="00210EEC">
        <w:rPr>
          <w:rFonts w:asciiTheme="minorHAnsi" w:hAnsiTheme="minorHAnsi" w:cs="Segoe UI"/>
          <w:i/>
          <w:iCs/>
          <w:sz w:val="18"/>
          <w:szCs w:val="18"/>
        </w:rPr>
        <w:t>Beitrag</w:t>
      </w:r>
      <w:proofErr w:type="spellEnd"/>
      <w:r w:rsidRPr="00210EEC">
        <w:rPr>
          <w:rFonts w:asciiTheme="minorHAnsi" w:hAnsiTheme="minorHAnsi" w:cs="Segoe UI"/>
          <w:i/>
          <w:iCs/>
          <w:sz w:val="18"/>
          <w:szCs w:val="18"/>
        </w:rPr>
        <w:t xml:space="preserve"> </w:t>
      </w:r>
      <w:proofErr w:type="spellStart"/>
      <w:r w:rsidRPr="00210EEC">
        <w:rPr>
          <w:rFonts w:asciiTheme="minorHAnsi" w:hAnsiTheme="minorHAnsi" w:cs="Segoe UI"/>
          <w:i/>
          <w:iCs/>
          <w:sz w:val="18"/>
          <w:szCs w:val="18"/>
        </w:rPr>
        <w:t>zur</w:t>
      </w:r>
      <w:proofErr w:type="spellEnd"/>
      <w:r w:rsidRPr="00210EEC">
        <w:rPr>
          <w:rFonts w:asciiTheme="minorHAnsi" w:hAnsiTheme="minorHAnsi" w:cs="Segoe UI"/>
          <w:i/>
          <w:iCs/>
          <w:sz w:val="18"/>
          <w:szCs w:val="18"/>
        </w:rPr>
        <w:t xml:space="preserve"> </w:t>
      </w:r>
      <w:proofErr w:type="spellStart"/>
      <w:r w:rsidRPr="00210EEC">
        <w:rPr>
          <w:rFonts w:asciiTheme="minorHAnsi" w:hAnsiTheme="minorHAnsi" w:cs="Segoe UI"/>
          <w:i/>
          <w:iCs/>
          <w:sz w:val="18"/>
          <w:szCs w:val="18"/>
        </w:rPr>
        <w:t>Grundrechtsdogmatik</w:t>
      </w:r>
      <w:proofErr w:type="spellEnd"/>
      <w:r w:rsidRPr="00210EEC">
        <w:rPr>
          <w:rFonts w:asciiTheme="minorHAnsi" w:hAnsiTheme="minorHAnsi" w:cs="Segoe UI"/>
          <w:i/>
          <w:iCs/>
          <w:sz w:val="18"/>
          <w:szCs w:val="18"/>
        </w:rPr>
        <w:t xml:space="preserve"> </w:t>
      </w:r>
      <w:proofErr w:type="spellStart"/>
      <w:r w:rsidRPr="00210EEC">
        <w:rPr>
          <w:rFonts w:asciiTheme="minorHAnsi" w:hAnsiTheme="minorHAnsi" w:cs="Segoe UI"/>
          <w:i/>
          <w:iCs/>
          <w:sz w:val="18"/>
          <w:szCs w:val="18"/>
        </w:rPr>
        <w:t>im</w:t>
      </w:r>
      <w:proofErr w:type="spellEnd"/>
      <w:r w:rsidRPr="00210EEC">
        <w:rPr>
          <w:rFonts w:asciiTheme="minorHAnsi" w:hAnsiTheme="minorHAnsi" w:cs="Segoe UI"/>
          <w:i/>
          <w:iCs/>
          <w:sz w:val="18"/>
          <w:szCs w:val="18"/>
        </w:rPr>
        <w:t xml:space="preserve"> </w:t>
      </w:r>
      <w:proofErr w:type="spellStart"/>
      <w:r w:rsidRPr="00210EEC">
        <w:rPr>
          <w:rFonts w:asciiTheme="minorHAnsi" w:hAnsiTheme="minorHAnsi" w:cs="Segoe UI"/>
          <w:i/>
          <w:iCs/>
          <w:sz w:val="18"/>
          <w:szCs w:val="18"/>
        </w:rPr>
        <w:t>Rahmen</w:t>
      </w:r>
      <w:proofErr w:type="spellEnd"/>
      <w:r w:rsidRPr="00210EEC">
        <w:rPr>
          <w:rFonts w:asciiTheme="minorHAnsi" w:hAnsiTheme="minorHAnsi" w:cs="Segoe UI"/>
          <w:i/>
          <w:iCs/>
          <w:sz w:val="18"/>
          <w:szCs w:val="18"/>
        </w:rPr>
        <w:t xml:space="preserve"> </w:t>
      </w:r>
      <w:proofErr w:type="spellStart"/>
      <w:r w:rsidRPr="00210EEC">
        <w:rPr>
          <w:rFonts w:asciiTheme="minorHAnsi" w:hAnsiTheme="minorHAnsi" w:cs="Segoe UI"/>
          <w:i/>
          <w:iCs/>
          <w:sz w:val="18"/>
          <w:szCs w:val="18"/>
        </w:rPr>
        <w:t>mehrpoliger</w:t>
      </w:r>
      <w:proofErr w:type="spellEnd"/>
      <w:r w:rsidRPr="00210EEC">
        <w:rPr>
          <w:rFonts w:asciiTheme="minorHAnsi" w:hAnsiTheme="minorHAnsi" w:cs="Segoe UI"/>
          <w:i/>
          <w:iCs/>
          <w:sz w:val="18"/>
          <w:szCs w:val="18"/>
        </w:rPr>
        <w:t xml:space="preserve"> </w:t>
      </w:r>
      <w:proofErr w:type="spellStart"/>
      <w:r w:rsidRPr="00210EEC">
        <w:rPr>
          <w:rFonts w:asciiTheme="minorHAnsi" w:hAnsiTheme="minorHAnsi" w:cs="Segoe UI"/>
          <w:i/>
          <w:iCs/>
          <w:sz w:val="18"/>
          <w:szCs w:val="18"/>
        </w:rPr>
        <w:t>Verfassungsverhältnisse</w:t>
      </w:r>
      <w:proofErr w:type="spellEnd"/>
      <w:r w:rsidRPr="00210EEC">
        <w:rPr>
          <w:rFonts w:asciiTheme="minorHAnsi" w:hAnsiTheme="minorHAnsi" w:cs="Segoe UI"/>
          <w:i/>
          <w:iCs/>
          <w:sz w:val="18"/>
          <w:szCs w:val="18"/>
        </w:rPr>
        <w:t>.</w:t>
      </w:r>
      <w:r w:rsidRPr="00210EEC">
        <w:rPr>
          <w:rFonts w:asciiTheme="minorHAnsi" w:hAnsiTheme="minorHAnsi" w:cs="Segoe UI"/>
          <w:sz w:val="18"/>
          <w:szCs w:val="18"/>
        </w:rPr>
        <w:t xml:space="preserve"> Tübingen: Mohr </w:t>
      </w:r>
      <w:proofErr w:type="spellStart"/>
      <w:r w:rsidRPr="00210EEC">
        <w:rPr>
          <w:rFonts w:asciiTheme="minorHAnsi" w:hAnsiTheme="minorHAnsi" w:cs="Segoe UI"/>
          <w:sz w:val="18"/>
          <w:szCs w:val="18"/>
        </w:rPr>
        <w:t>Siebeck</w:t>
      </w:r>
      <w:proofErr w:type="spellEnd"/>
      <w:r w:rsidRPr="00210EEC">
        <w:rPr>
          <w:rFonts w:asciiTheme="minorHAnsi" w:hAnsiTheme="minorHAnsi" w:cs="Segoe UI"/>
          <w:sz w:val="18"/>
          <w:szCs w:val="18"/>
        </w:rPr>
        <w:t xml:space="preserve">. </w:t>
      </w:r>
      <w:hyperlink r:id="rId29" w:history="1">
        <w:r w:rsidR="00210EEC" w:rsidRPr="003D09EF">
          <w:rPr>
            <w:rStyle w:val="Hyperlink"/>
            <w:rFonts w:asciiTheme="minorHAnsi" w:hAnsiTheme="minorHAnsi" w:cs="Segoe UI"/>
            <w:sz w:val="18"/>
            <w:szCs w:val="18"/>
          </w:rPr>
          <w:t>https://www.mohr.de/buch/rechtsstaat-und-umweltstaat-9783161475788</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582264A"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D03C64A" w14:textId="43F49D0E"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Capano</w:t>
      </w:r>
      <w:proofErr w:type="spellEnd"/>
      <w:r w:rsidRPr="00210EEC">
        <w:rPr>
          <w:rFonts w:asciiTheme="minorHAnsi" w:hAnsiTheme="minorHAnsi" w:cs="Segoe UI"/>
          <w:sz w:val="18"/>
          <w:szCs w:val="18"/>
        </w:rPr>
        <w:t xml:space="preserve">, G. and Howlett, M. (2009). Introduction: The determinants of policy change: Advancing the debate. </w:t>
      </w:r>
      <w:r w:rsidRPr="00210EEC">
        <w:rPr>
          <w:rFonts w:asciiTheme="minorHAnsi" w:hAnsiTheme="minorHAnsi" w:cs="Segoe UI"/>
          <w:i/>
          <w:iCs/>
          <w:sz w:val="18"/>
          <w:szCs w:val="18"/>
        </w:rPr>
        <w:t xml:space="preserve">Journal </w:t>
      </w:r>
      <w:r w:rsidRPr="00210EEC">
        <w:rPr>
          <w:rFonts w:asciiTheme="minorHAnsi" w:hAnsiTheme="minorHAnsi" w:cs="Segoe UI"/>
          <w:i/>
          <w:iCs/>
          <w:sz w:val="18"/>
          <w:szCs w:val="18"/>
        </w:rPr>
        <w:lastRenderedPageBreak/>
        <w:t>of Comparative Policy Analysis: Research and Practice</w:t>
      </w:r>
      <w:r w:rsidRPr="00210EEC">
        <w:rPr>
          <w:rFonts w:asciiTheme="minorHAnsi" w:hAnsiTheme="minorHAnsi" w:cs="Segoe UI"/>
          <w:sz w:val="18"/>
          <w:szCs w:val="18"/>
        </w:rPr>
        <w:t xml:space="preserve"> 11(1), 1-5. </w:t>
      </w:r>
      <w:hyperlink r:id="rId30" w:history="1">
        <w:r w:rsidR="00210EEC" w:rsidRPr="003D09EF">
          <w:rPr>
            <w:rStyle w:val="Hyperlink"/>
            <w:rFonts w:asciiTheme="minorHAnsi" w:hAnsiTheme="minorHAnsi" w:cs="Segoe UI"/>
            <w:sz w:val="18"/>
            <w:szCs w:val="18"/>
          </w:rPr>
          <w:t>https://doi.org/10.1080/13876980802648227</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4DAE3D2"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C62A815" w14:textId="10CE0CED"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Cass, L. (2005). Norm entrapment and preference change: The evolution of the European Union position on international emissions trading. </w:t>
      </w:r>
      <w:r w:rsidRPr="00210EEC">
        <w:rPr>
          <w:rFonts w:asciiTheme="minorHAnsi" w:hAnsiTheme="minorHAnsi" w:cs="Segoe UI"/>
          <w:i/>
          <w:iCs/>
          <w:sz w:val="18"/>
          <w:szCs w:val="18"/>
        </w:rPr>
        <w:t>Global Environmental Politics</w:t>
      </w:r>
      <w:r w:rsidRPr="00210EEC">
        <w:rPr>
          <w:rFonts w:asciiTheme="minorHAnsi" w:hAnsiTheme="minorHAnsi" w:cs="Segoe UI"/>
          <w:sz w:val="18"/>
          <w:szCs w:val="18"/>
        </w:rPr>
        <w:t xml:space="preserve"> 5(2), 38-60. </w:t>
      </w:r>
      <w:hyperlink r:id="rId31" w:history="1">
        <w:r w:rsidR="00210EEC" w:rsidRPr="003D09EF">
          <w:rPr>
            <w:rStyle w:val="Hyperlink"/>
            <w:rFonts w:asciiTheme="minorHAnsi" w:hAnsiTheme="minorHAnsi" w:cs="Segoe UI"/>
            <w:sz w:val="18"/>
            <w:szCs w:val="18"/>
          </w:rPr>
          <w:t>https://doi.org/10.1162/1526380054127736</w:t>
        </w:r>
      </w:hyperlink>
      <w:r w:rsidR="00210EEC">
        <w:rPr>
          <w:rFonts w:asciiTheme="minorHAnsi" w:hAnsiTheme="minorHAnsi" w:cs="Segoe UI"/>
          <w:sz w:val="18"/>
          <w:szCs w:val="18"/>
        </w:rPr>
        <w:t xml:space="preserve"> </w:t>
      </w:r>
      <w:r w:rsidRPr="00210EEC">
        <w:rPr>
          <w:rFonts w:asciiTheme="minorHAnsi" w:hAnsiTheme="minorHAnsi" w:cs="Segoe UI"/>
          <w:sz w:val="18"/>
          <w:szCs w:val="18"/>
        </w:rPr>
        <w:t xml:space="preserve"> </w:t>
      </w:r>
    </w:p>
    <w:p w14:paraId="6FD721B1"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2B346B14" w14:textId="2D73B06E"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Chayes</w:t>
      </w:r>
      <w:proofErr w:type="spellEnd"/>
      <w:r w:rsidRPr="00210EEC">
        <w:rPr>
          <w:rFonts w:asciiTheme="minorHAnsi" w:hAnsiTheme="minorHAnsi" w:cs="Segoe UI"/>
          <w:sz w:val="18"/>
          <w:szCs w:val="18"/>
        </w:rPr>
        <w:t xml:space="preserve">, A. and </w:t>
      </w:r>
      <w:proofErr w:type="spellStart"/>
      <w:r w:rsidRPr="00210EEC">
        <w:rPr>
          <w:rFonts w:asciiTheme="minorHAnsi" w:hAnsiTheme="minorHAnsi" w:cs="Segoe UI"/>
          <w:sz w:val="18"/>
          <w:szCs w:val="18"/>
        </w:rPr>
        <w:t>Chayes</w:t>
      </w:r>
      <w:proofErr w:type="spellEnd"/>
      <w:r w:rsidRPr="00210EEC">
        <w:rPr>
          <w:rFonts w:asciiTheme="minorHAnsi" w:hAnsiTheme="minorHAnsi" w:cs="Segoe UI"/>
          <w:sz w:val="18"/>
          <w:szCs w:val="18"/>
        </w:rPr>
        <w:t xml:space="preserve">, A.H. (1993). On compliance. </w:t>
      </w:r>
      <w:r w:rsidRPr="00210EEC">
        <w:rPr>
          <w:rFonts w:asciiTheme="minorHAnsi" w:hAnsiTheme="minorHAnsi" w:cs="Segoe UI"/>
          <w:i/>
          <w:iCs/>
          <w:sz w:val="18"/>
          <w:szCs w:val="18"/>
        </w:rPr>
        <w:t>International Organization</w:t>
      </w:r>
      <w:r w:rsidRPr="00210EEC">
        <w:rPr>
          <w:rFonts w:asciiTheme="minorHAnsi" w:hAnsiTheme="minorHAnsi" w:cs="Segoe UI"/>
          <w:sz w:val="18"/>
          <w:szCs w:val="18"/>
        </w:rPr>
        <w:t xml:space="preserve"> 47(2), 175-205. </w:t>
      </w:r>
      <w:hyperlink r:id="rId32" w:history="1">
        <w:r w:rsidR="00210EEC" w:rsidRPr="003D09EF">
          <w:rPr>
            <w:rStyle w:val="Hyperlink"/>
            <w:rFonts w:asciiTheme="minorHAnsi" w:hAnsiTheme="minorHAnsi" w:cs="Segoe UI"/>
            <w:sz w:val="18"/>
            <w:szCs w:val="18"/>
          </w:rPr>
          <w:t>https://doi.org/10.1017/S0020818300027910</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4FCA7C6"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BBD11AD" w14:textId="6A0FBCB8"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Colgan, J.D., Keohane, R.O. and Van de Graaf, T. (2012). Punctuated equilibrium in the energy regime complex. </w:t>
      </w:r>
      <w:r w:rsidRPr="00210EEC">
        <w:rPr>
          <w:rFonts w:asciiTheme="minorHAnsi" w:hAnsiTheme="minorHAnsi" w:cs="Segoe UI"/>
          <w:i/>
          <w:iCs/>
          <w:sz w:val="18"/>
          <w:szCs w:val="18"/>
        </w:rPr>
        <w:t>Review of International Organizations</w:t>
      </w:r>
      <w:r w:rsidRPr="00210EEC">
        <w:rPr>
          <w:rFonts w:asciiTheme="minorHAnsi" w:hAnsiTheme="minorHAnsi" w:cs="Segoe UI"/>
          <w:sz w:val="18"/>
          <w:szCs w:val="18"/>
        </w:rPr>
        <w:t xml:space="preserve"> 7(2), 117-143. </w:t>
      </w:r>
      <w:hyperlink r:id="rId33" w:history="1">
        <w:r w:rsidR="00210EEC" w:rsidRPr="003D09EF">
          <w:rPr>
            <w:rStyle w:val="Hyperlink"/>
            <w:rFonts w:asciiTheme="minorHAnsi" w:hAnsiTheme="minorHAnsi" w:cs="Segoe UI"/>
            <w:sz w:val="18"/>
            <w:szCs w:val="18"/>
          </w:rPr>
          <w:t>https://doi.org/10.1007/s11558-011-9130-9</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F5BDCE8"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2369FEC" w14:textId="4913398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Dai, X. (2005). Why comply? The domestic constituency mechanism. </w:t>
      </w:r>
      <w:r w:rsidRPr="00210EEC">
        <w:rPr>
          <w:rFonts w:asciiTheme="minorHAnsi" w:hAnsiTheme="minorHAnsi" w:cs="Segoe UI"/>
          <w:i/>
          <w:iCs/>
          <w:sz w:val="18"/>
          <w:szCs w:val="18"/>
        </w:rPr>
        <w:t>International Organization</w:t>
      </w:r>
      <w:r w:rsidRPr="00210EEC">
        <w:rPr>
          <w:rFonts w:asciiTheme="minorHAnsi" w:hAnsiTheme="minorHAnsi" w:cs="Segoe UI"/>
          <w:sz w:val="18"/>
          <w:szCs w:val="18"/>
        </w:rPr>
        <w:t xml:space="preserve"> 59(2), 363-398. </w:t>
      </w:r>
      <w:hyperlink r:id="rId34" w:history="1">
        <w:r w:rsidR="00210EEC" w:rsidRPr="003D09EF">
          <w:rPr>
            <w:rStyle w:val="Hyperlink"/>
            <w:rFonts w:asciiTheme="minorHAnsi" w:hAnsiTheme="minorHAnsi" w:cs="Segoe UI"/>
            <w:sz w:val="18"/>
            <w:szCs w:val="18"/>
          </w:rPr>
          <w:t>https://doi.org/10.1017/s0020818305050125</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4A2134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8CB4066" w14:textId="18F2CD2A"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Daugbjerg</w:t>
      </w:r>
      <w:proofErr w:type="spellEnd"/>
      <w:r w:rsidRPr="00210EEC">
        <w:rPr>
          <w:rFonts w:asciiTheme="minorHAnsi" w:hAnsiTheme="minorHAnsi" w:cs="Segoe UI"/>
          <w:sz w:val="18"/>
          <w:szCs w:val="18"/>
        </w:rPr>
        <w:t xml:space="preserve">, C. (2003). Policy feedback and paradigm shift in EU agricultural policy: The effects of the </w:t>
      </w:r>
      <w:proofErr w:type="spellStart"/>
      <w:r w:rsidRPr="00210EEC">
        <w:rPr>
          <w:rFonts w:asciiTheme="minorHAnsi" w:hAnsiTheme="minorHAnsi" w:cs="Segoe UI"/>
          <w:sz w:val="18"/>
          <w:szCs w:val="18"/>
        </w:rPr>
        <w:t>MacSharry</w:t>
      </w:r>
      <w:proofErr w:type="spellEnd"/>
      <w:r w:rsidRPr="00210EEC">
        <w:rPr>
          <w:rFonts w:asciiTheme="minorHAnsi" w:hAnsiTheme="minorHAnsi" w:cs="Segoe UI"/>
          <w:sz w:val="18"/>
          <w:szCs w:val="18"/>
        </w:rPr>
        <w:t xml:space="preserve"> reform on future reform. </w:t>
      </w:r>
      <w:r w:rsidRPr="00210EEC">
        <w:rPr>
          <w:rFonts w:asciiTheme="minorHAnsi" w:hAnsiTheme="minorHAnsi" w:cs="Segoe UI"/>
          <w:i/>
          <w:iCs/>
          <w:sz w:val="18"/>
          <w:szCs w:val="18"/>
        </w:rPr>
        <w:t>Journal of European Public Policy</w:t>
      </w:r>
      <w:r w:rsidRPr="00210EEC">
        <w:rPr>
          <w:rFonts w:asciiTheme="minorHAnsi" w:hAnsiTheme="minorHAnsi" w:cs="Segoe UI"/>
          <w:sz w:val="18"/>
          <w:szCs w:val="18"/>
        </w:rPr>
        <w:t xml:space="preserve"> 10(3), 421-437. </w:t>
      </w:r>
      <w:hyperlink r:id="rId35" w:history="1">
        <w:r w:rsidR="00210EEC" w:rsidRPr="003D09EF">
          <w:rPr>
            <w:rStyle w:val="Hyperlink"/>
            <w:rFonts w:asciiTheme="minorHAnsi" w:hAnsiTheme="minorHAnsi" w:cs="Segoe UI"/>
            <w:sz w:val="18"/>
            <w:szCs w:val="18"/>
          </w:rPr>
          <w:t>https://doi.org/10.1080/1350176032000085388</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8725135"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4A25B63" w14:textId="58A2F9EE"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De Francesco, F. (2012). Diffusion of regulatory impact analysis among OECD and EU member states. </w:t>
      </w:r>
      <w:r w:rsidRPr="00210EEC">
        <w:rPr>
          <w:rFonts w:asciiTheme="minorHAnsi" w:hAnsiTheme="minorHAnsi" w:cs="Segoe UI"/>
          <w:i/>
          <w:iCs/>
          <w:sz w:val="18"/>
          <w:szCs w:val="18"/>
        </w:rPr>
        <w:t>Comparative Political Studies</w:t>
      </w:r>
      <w:r w:rsidRPr="00210EEC">
        <w:rPr>
          <w:rFonts w:asciiTheme="minorHAnsi" w:hAnsiTheme="minorHAnsi" w:cs="Segoe UI"/>
          <w:sz w:val="18"/>
          <w:szCs w:val="18"/>
        </w:rPr>
        <w:t xml:space="preserve"> 45(10), 1277-1305. </w:t>
      </w:r>
      <w:hyperlink r:id="rId36" w:history="1">
        <w:r w:rsidR="00210EEC" w:rsidRPr="003D09EF">
          <w:rPr>
            <w:rStyle w:val="Hyperlink"/>
            <w:rFonts w:asciiTheme="minorHAnsi" w:hAnsiTheme="minorHAnsi" w:cs="Segoe UI"/>
            <w:sz w:val="18"/>
            <w:szCs w:val="18"/>
          </w:rPr>
          <w:t>https://doi.org/10.1177/0010414011434297</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398A57A"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2112238" w14:textId="4F077DD4"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Di Gregorio, M., </w:t>
      </w:r>
      <w:proofErr w:type="spellStart"/>
      <w:r w:rsidRPr="00210EEC">
        <w:rPr>
          <w:rFonts w:asciiTheme="minorHAnsi" w:hAnsiTheme="minorHAnsi" w:cs="Segoe UI"/>
          <w:sz w:val="18"/>
          <w:szCs w:val="18"/>
        </w:rPr>
        <w:t>Nurrochmat</w:t>
      </w:r>
      <w:proofErr w:type="spellEnd"/>
      <w:r w:rsidRPr="00210EEC">
        <w:rPr>
          <w:rFonts w:asciiTheme="minorHAnsi" w:hAnsiTheme="minorHAnsi" w:cs="Segoe UI"/>
          <w:sz w:val="18"/>
          <w:szCs w:val="18"/>
        </w:rPr>
        <w:t xml:space="preserve">, D.R., Paavola, J., Sari, I.M., </w:t>
      </w:r>
      <w:proofErr w:type="spellStart"/>
      <w:r w:rsidRPr="00210EEC">
        <w:rPr>
          <w:rFonts w:asciiTheme="minorHAnsi" w:hAnsiTheme="minorHAnsi" w:cs="Segoe UI"/>
          <w:sz w:val="18"/>
          <w:szCs w:val="18"/>
        </w:rPr>
        <w:t>Fatorelli</w:t>
      </w:r>
      <w:proofErr w:type="spellEnd"/>
      <w:r w:rsidRPr="00210EEC">
        <w:rPr>
          <w:rFonts w:asciiTheme="minorHAnsi" w:hAnsiTheme="minorHAnsi" w:cs="Segoe UI"/>
          <w:sz w:val="18"/>
          <w:szCs w:val="18"/>
        </w:rPr>
        <w:t xml:space="preserve">, L., </w:t>
      </w:r>
      <w:proofErr w:type="spellStart"/>
      <w:r w:rsidRPr="00210EEC">
        <w:rPr>
          <w:rFonts w:asciiTheme="minorHAnsi" w:hAnsiTheme="minorHAnsi" w:cs="Segoe UI"/>
          <w:sz w:val="18"/>
          <w:szCs w:val="18"/>
        </w:rPr>
        <w:t>Pramova</w:t>
      </w:r>
      <w:proofErr w:type="spellEnd"/>
      <w:r w:rsidRPr="00210EEC">
        <w:rPr>
          <w:rFonts w:asciiTheme="minorHAnsi" w:hAnsiTheme="minorHAnsi" w:cs="Segoe UI"/>
          <w:sz w:val="18"/>
          <w:szCs w:val="18"/>
        </w:rPr>
        <w:t>, E.</w:t>
      </w:r>
      <w:r w:rsidRPr="00210EEC">
        <w:rPr>
          <w:rFonts w:asciiTheme="minorHAnsi" w:hAnsiTheme="minorHAnsi" w:cs="Segoe UI"/>
          <w:i/>
          <w:iCs/>
          <w:sz w:val="18"/>
          <w:szCs w:val="18"/>
        </w:rPr>
        <w:t xml:space="preserve"> et al.</w:t>
      </w:r>
      <w:r w:rsidRPr="00210EEC">
        <w:rPr>
          <w:rFonts w:asciiTheme="minorHAnsi" w:hAnsiTheme="minorHAnsi" w:cs="Segoe UI"/>
          <w:sz w:val="18"/>
          <w:szCs w:val="18"/>
        </w:rPr>
        <w:t xml:space="preserve"> (2017). Climate policy integration in the land use sector: Mitigation, adaptation and sustainable development linkages. </w:t>
      </w:r>
      <w:r w:rsidRPr="00210EEC">
        <w:rPr>
          <w:rFonts w:asciiTheme="minorHAnsi" w:hAnsiTheme="minorHAnsi" w:cs="Segoe UI"/>
          <w:i/>
          <w:iCs/>
          <w:sz w:val="18"/>
          <w:szCs w:val="18"/>
        </w:rPr>
        <w:t>Environmental Science &amp; Policy</w:t>
      </w:r>
      <w:r w:rsidRPr="00210EEC">
        <w:rPr>
          <w:rFonts w:asciiTheme="minorHAnsi" w:hAnsiTheme="minorHAnsi" w:cs="Segoe UI"/>
          <w:sz w:val="18"/>
          <w:szCs w:val="18"/>
        </w:rPr>
        <w:t xml:space="preserve"> 67, 35-43. </w:t>
      </w:r>
      <w:hyperlink r:id="rId37" w:history="1">
        <w:r w:rsidR="00380775" w:rsidRPr="00210EEC">
          <w:rPr>
            <w:rStyle w:val="Hyperlink"/>
            <w:rFonts w:asciiTheme="minorHAnsi" w:hAnsiTheme="minorHAnsi" w:cs="Segoe UI"/>
            <w:sz w:val="18"/>
            <w:szCs w:val="18"/>
            <w:u w:val="none"/>
          </w:rPr>
          <w:t>https://doi.org/10.1016/j.envsci.2016.11.004</w:t>
        </w:r>
      </w:hyperlink>
      <w:r w:rsidRPr="00210EEC">
        <w:rPr>
          <w:rFonts w:asciiTheme="minorHAnsi" w:hAnsiTheme="minorHAnsi" w:cs="Segoe UI"/>
          <w:sz w:val="18"/>
          <w:szCs w:val="18"/>
        </w:rPr>
        <w:t>.</w:t>
      </w:r>
    </w:p>
    <w:p w14:paraId="387BDCEC" w14:textId="77777777" w:rsidR="00380775" w:rsidRPr="00210EEC" w:rsidRDefault="00380775" w:rsidP="00796229">
      <w:pPr>
        <w:widowControl w:val="0"/>
        <w:autoSpaceDE w:val="0"/>
        <w:autoSpaceDN w:val="0"/>
        <w:adjustRightInd w:val="0"/>
        <w:spacing w:after="0" w:line="240" w:lineRule="auto"/>
        <w:rPr>
          <w:rFonts w:asciiTheme="minorHAnsi" w:hAnsiTheme="minorHAnsi" w:cs="Segoe UI"/>
          <w:sz w:val="18"/>
          <w:szCs w:val="18"/>
        </w:rPr>
      </w:pPr>
    </w:p>
    <w:p w14:paraId="6D731CD5" w14:textId="17101C73" w:rsidR="00380775" w:rsidRPr="00210EEC" w:rsidRDefault="00380775"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i/>
          <w:iCs/>
          <w:sz w:val="18"/>
          <w:szCs w:val="18"/>
        </w:rPr>
        <w:t>Directive 2001/42/EC of the European Parliament and of the Council of 27 June 2001 on the Assessment of the Effects of Certain Plans and Programmes on the Environment,</w:t>
      </w:r>
      <w:r w:rsidRPr="00210EEC">
        <w:rPr>
          <w:rFonts w:asciiTheme="minorHAnsi" w:hAnsiTheme="minorHAnsi" w:cs="Segoe UI"/>
          <w:sz w:val="18"/>
          <w:szCs w:val="18"/>
        </w:rPr>
        <w:t xml:space="preserve"> 2001. </w:t>
      </w:r>
      <w:hyperlink r:id="rId38" w:history="1">
        <w:r w:rsidR="00210EEC" w:rsidRPr="003D09EF">
          <w:rPr>
            <w:rStyle w:val="Hyperlink"/>
            <w:rFonts w:asciiTheme="minorHAnsi" w:hAnsiTheme="minorHAnsi" w:cs="Segoe UI"/>
            <w:sz w:val="18"/>
            <w:szCs w:val="18"/>
          </w:rPr>
          <w:t>https://eur-lex.europa.eu/legal-content/EN/TXT/PDF/?uri=CELEX:32001L0042&amp;from=EN</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65AA393"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2E42012A" w14:textId="5789C445"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Downs, G.W., </w:t>
      </w:r>
      <w:proofErr w:type="spellStart"/>
      <w:r w:rsidRPr="00210EEC">
        <w:rPr>
          <w:rFonts w:asciiTheme="minorHAnsi" w:hAnsiTheme="minorHAnsi" w:cs="Segoe UI"/>
          <w:sz w:val="18"/>
          <w:szCs w:val="18"/>
        </w:rPr>
        <w:t>Rocke</w:t>
      </w:r>
      <w:proofErr w:type="spellEnd"/>
      <w:r w:rsidRPr="00210EEC">
        <w:rPr>
          <w:rFonts w:asciiTheme="minorHAnsi" w:hAnsiTheme="minorHAnsi" w:cs="Segoe UI"/>
          <w:sz w:val="18"/>
          <w:szCs w:val="18"/>
        </w:rPr>
        <w:t xml:space="preserve">, D.M. and </w:t>
      </w:r>
      <w:proofErr w:type="spellStart"/>
      <w:r w:rsidRPr="00210EEC">
        <w:rPr>
          <w:rFonts w:asciiTheme="minorHAnsi" w:hAnsiTheme="minorHAnsi" w:cs="Segoe UI"/>
          <w:sz w:val="18"/>
          <w:szCs w:val="18"/>
        </w:rPr>
        <w:t>Barsoom</w:t>
      </w:r>
      <w:proofErr w:type="spellEnd"/>
      <w:r w:rsidRPr="00210EEC">
        <w:rPr>
          <w:rFonts w:asciiTheme="minorHAnsi" w:hAnsiTheme="minorHAnsi" w:cs="Segoe UI"/>
          <w:sz w:val="18"/>
          <w:szCs w:val="18"/>
        </w:rPr>
        <w:t xml:space="preserve">, P.N. (1996). Is the good news about compliance good news about cooperation? </w:t>
      </w:r>
      <w:r w:rsidRPr="00210EEC">
        <w:rPr>
          <w:rFonts w:asciiTheme="minorHAnsi" w:hAnsiTheme="minorHAnsi" w:cs="Segoe UI"/>
          <w:i/>
          <w:iCs/>
          <w:sz w:val="18"/>
          <w:szCs w:val="18"/>
        </w:rPr>
        <w:t>International Organization</w:t>
      </w:r>
      <w:r w:rsidRPr="00210EEC">
        <w:rPr>
          <w:rFonts w:asciiTheme="minorHAnsi" w:hAnsiTheme="minorHAnsi" w:cs="Segoe UI"/>
          <w:sz w:val="18"/>
          <w:szCs w:val="18"/>
        </w:rPr>
        <w:t xml:space="preserve"> 50(3), 379-406. </w:t>
      </w:r>
      <w:hyperlink r:id="rId39" w:history="1">
        <w:r w:rsidR="00210EEC" w:rsidRPr="003D09EF">
          <w:rPr>
            <w:rStyle w:val="Hyperlink"/>
            <w:rFonts w:asciiTheme="minorHAnsi" w:hAnsiTheme="minorHAnsi" w:cs="Segoe UI"/>
            <w:sz w:val="18"/>
            <w:szCs w:val="18"/>
          </w:rPr>
          <w:t>https://doi.org/10.1017/S0020818300033427</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5337C07"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329F53B" w14:textId="332E9D60"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Dür</w:t>
      </w:r>
      <w:proofErr w:type="spellEnd"/>
      <w:r w:rsidRPr="00210EEC">
        <w:rPr>
          <w:rFonts w:asciiTheme="minorHAnsi" w:hAnsiTheme="minorHAnsi" w:cs="Segoe UI"/>
          <w:sz w:val="18"/>
          <w:szCs w:val="18"/>
        </w:rPr>
        <w:t xml:space="preserve">, A. and De </w:t>
      </w:r>
      <w:proofErr w:type="spellStart"/>
      <w:r w:rsidRPr="00210EEC">
        <w:rPr>
          <w:rFonts w:asciiTheme="minorHAnsi" w:hAnsiTheme="minorHAnsi" w:cs="Segoe UI"/>
          <w:sz w:val="18"/>
          <w:szCs w:val="18"/>
        </w:rPr>
        <w:t>Bièvre</w:t>
      </w:r>
      <w:proofErr w:type="spellEnd"/>
      <w:r w:rsidRPr="00210EEC">
        <w:rPr>
          <w:rFonts w:asciiTheme="minorHAnsi" w:hAnsiTheme="minorHAnsi" w:cs="Segoe UI"/>
          <w:sz w:val="18"/>
          <w:szCs w:val="18"/>
        </w:rPr>
        <w:t xml:space="preserve">, D. (2007). Inclusion without influence? NGOs in European trade policy. </w:t>
      </w:r>
      <w:r w:rsidRPr="00210EEC">
        <w:rPr>
          <w:rFonts w:asciiTheme="minorHAnsi" w:hAnsiTheme="minorHAnsi" w:cs="Segoe UI"/>
          <w:i/>
          <w:iCs/>
          <w:sz w:val="18"/>
          <w:szCs w:val="18"/>
        </w:rPr>
        <w:t>Journal of Public Policy</w:t>
      </w:r>
      <w:r w:rsidRPr="00210EEC">
        <w:rPr>
          <w:rFonts w:asciiTheme="minorHAnsi" w:hAnsiTheme="minorHAnsi" w:cs="Segoe UI"/>
          <w:sz w:val="18"/>
          <w:szCs w:val="18"/>
        </w:rPr>
        <w:t xml:space="preserve"> 27(1), 79-101. </w:t>
      </w:r>
      <w:hyperlink r:id="rId40" w:history="1">
        <w:r w:rsidR="00210EEC" w:rsidRPr="003D09EF">
          <w:rPr>
            <w:rStyle w:val="Hyperlink"/>
            <w:rFonts w:asciiTheme="minorHAnsi" w:hAnsiTheme="minorHAnsi" w:cs="Segoe UI"/>
            <w:sz w:val="18"/>
            <w:szCs w:val="18"/>
          </w:rPr>
          <w:t>https://doi.org/10.1017/S0143814X0700061X</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BB1A65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947EDA9" w14:textId="6D10C1D1"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Eckersley, R. (2005). </w:t>
      </w:r>
      <w:r w:rsidRPr="00210EEC">
        <w:rPr>
          <w:rFonts w:asciiTheme="minorHAnsi" w:hAnsiTheme="minorHAnsi" w:cs="Segoe UI"/>
          <w:i/>
          <w:iCs/>
          <w:sz w:val="18"/>
          <w:szCs w:val="18"/>
        </w:rPr>
        <w:t>The Green State: Rethinking Democracy and Sovereignty.</w:t>
      </w:r>
      <w:r w:rsidRPr="00210EEC">
        <w:rPr>
          <w:rFonts w:asciiTheme="minorHAnsi" w:hAnsiTheme="minorHAnsi" w:cs="Segoe UI"/>
          <w:sz w:val="18"/>
          <w:szCs w:val="18"/>
        </w:rPr>
        <w:t xml:space="preserve"> Cambridge, MA: MIT Press. </w:t>
      </w:r>
      <w:hyperlink r:id="rId41" w:history="1">
        <w:r w:rsidR="00210EEC" w:rsidRPr="003D09EF">
          <w:rPr>
            <w:rStyle w:val="Hyperlink"/>
            <w:rFonts w:asciiTheme="minorHAnsi" w:hAnsiTheme="minorHAnsi" w:cs="Segoe UI"/>
            <w:sz w:val="18"/>
            <w:szCs w:val="18"/>
          </w:rPr>
          <w:t>https://mitpress.mit.edu/books/green-state</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F3896E0" w14:textId="5711962D" w:rsidR="00796229" w:rsidRPr="00210EEC" w:rsidRDefault="00A259EF" w:rsidP="00210EEC">
      <w:pPr>
        <w:pStyle w:val="NormalWeb"/>
        <w:rPr>
          <w:rFonts w:asciiTheme="minorHAnsi" w:hAnsiTheme="minorHAnsi" w:cs="Segoe UI"/>
          <w:sz w:val="18"/>
          <w:szCs w:val="18"/>
        </w:rPr>
      </w:pPr>
      <w:r w:rsidRPr="00210EEC">
        <w:rPr>
          <w:rFonts w:asciiTheme="minorHAnsi" w:hAnsiTheme="minorHAnsi" w:cs="Segoe UI"/>
          <w:sz w:val="18"/>
          <w:szCs w:val="18"/>
        </w:rPr>
        <w:t xml:space="preserve">Egger, C., Priewasser, R., Rumpl, J., Gignac, M., European Federation of Agencies and Regions for Energy and the Environment, </w:t>
      </w:r>
      <w:r w:rsidR="00A47AFC" w:rsidRPr="00210EEC">
        <w:rPr>
          <w:rFonts w:asciiTheme="minorHAnsi" w:hAnsiTheme="minorHAnsi" w:cs="Segoe UI"/>
          <w:sz w:val="18"/>
          <w:szCs w:val="18"/>
        </w:rPr>
        <w:t>European Council for an Energy Efficient Economy and Energy Cities</w:t>
      </w:r>
      <w:r w:rsidR="00796229" w:rsidRPr="00210EEC">
        <w:rPr>
          <w:rFonts w:asciiTheme="minorHAnsi" w:hAnsiTheme="minorHAnsi" w:cs="Segoe UI"/>
          <w:sz w:val="18"/>
          <w:szCs w:val="18"/>
        </w:rPr>
        <w:t xml:space="preserve"> (2015). </w:t>
      </w:r>
      <w:r w:rsidR="00796229" w:rsidRPr="00210EEC">
        <w:rPr>
          <w:rFonts w:asciiTheme="minorHAnsi" w:hAnsiTheme="minorHAnsi" w:cs="Segoe UI"/>
          <w:i/>
          <w:iCs/>
          <w:sz w:val="18"/>
          <w:szCs w:val="18"/>
        </w:rPr>
        <w:t>Survey Report 2015: Progress in Energy Efficiency Policies in the EU Member States - The Experts Perspective</w:t>
      </w:r>
      <w:r w:rsidR="00A47AFC" w:rsidRPr="00210EEC">
        <w:rPr>
          <w:rFonts w:asciiTheme="minorHAnsi" w:hAnsiTheme="minorHAnsi" w:cs="Segoe UI"/>
          <w:i/>
          <w:iCs/>
          <w:sz w:val="18"/>
          <w:szCs w:val="18"/>
        </w:rPr>
        <w:t>: Findings from the Energy Efficiency Watch Project</w:t>
      </w:r>
      <w:r w:rsidR="00796229" w:rsidRPr="00210EEC">
        <w:rPr>
          <w:rFonts w:asciiTheme="minorHAnsi" w:hAnsiTheme="minorHAnsi" w:cs="Segoe UI"/>
          <w:i/>
          <w:iCs/>
          <w:sz w:val="18"/>
          <w:szCs w:val="18"/>
        </w:rPr>
        <w:t>.</w:t>
      </w:r>
      <w:r w:rsidR="00796229" w:rsidRPr="00210EEC">
        <w:rPr>
          <w:rFonts w:asciiTheme="minorHAnsi" w:hAnsiTheme="minorHAnsi" w:cs="Segoe UI"/>
          <w:sz w:val="18"/>
          <w:szCs w:val="18"/>
        </w:rPr>
        <w:t xml:space="preserve"> </w:t>
      </w:r>
      <w:r w:rsidR="00A47AFC" w:rsidRPr="00210EEC">
        <w:rPr>
          <w:rFonts w:asciiTheme="minorHAnsi" w:hAnsiTheme="minorHAnsi" w:cs="Segoe UI"/>
          <w:sz w:val="18"/>
          <w:szCs w:val="18"/>
        </w:rPr>
        <w:t xml:space="preserve">Linz: </w:t>
      </w:r>
      <w:r w:rsidR="00A47AFC" w:rsidRPr="00210EEC">
        <w:rPr>
          <w:rFonts w:asciiTheme="minorHAnsi" w:eastAsia="Cambria" w:hAnsiTheme="minorHAnsi"/>
          <w:color w:val="0C233D"/>
          <w:sz w:val="18"/>
          <w:szCs w:val="18"/>
          <w:lang w:val="en-US" w:eastAsia="en-US"/>
        </w:rPr>
        <w:t xml:space="preserve">OÖ </w:t>
      </w:r>
      <w:proofErr w:type="spellStart"/>
      <w:r w:rsidR="00A47AFC" w:rsidRPr="00210EEC">
        <w:rPr>
          <w:rFonts w:asciiTheme="minorHAnsi" w:eastAsia="Cambria" w:hAnsiTheme="minorHAnsi"/>
          <w:color w:val="0C233D"/>
          <w:sz w:val="18"/>
          <w:szCs w:val="18"/>
          <w:lang w:val="en-US" w:eastAsia="en-US"/>
        </w:rPr>
        <w:t>Energiesparverband</w:t>
      </w:r>
      <w:proofErr w:type="spellEnd"/>
      <w:r w:rsidR="00A47AFC" w:rsidRPr="00210EEC">
        <w:rPr>
          <w:rFonts w:asciiTheme="minorHAnsi" w:eastAsia="Cambria" w:hAnsiTheme="minorHAnsi"/>
          <w:color w:val="0C233D"/>
          <w:sz w:val="18"/>
          <w:szCs w:val="18"/>
          <w:lang w:val="en-US" w:eastAsia="en-US"/>
        </w:rPr>
        <w:t xml:space="preserve">. </w:t>
      </w:r>
      <w:r w:rsidR="00B756C6">
        <w:rPr>
          <w:rStyle w:val="Hyperlink"/>
          <w:rFonts w:asciiTheme="minorHAnsi" w:hAnsiTheme="minorHAnsi" w:cs="Segoe UI"/>
          <w:sz w:val="18"/>
          <w:szCs w:val="18"/>
        </w:rPr>
        <w:fldChar w:fldCharType="begin"/>
      </w:r>
      <w:r w:rsidR="00B756C6">
        <w:rPr>
          <w:rStyle w:val="Hyperlink"/>
          <w:rFonts w:asciiTheme="minorHAnsi" w:hAnsiTheme="minorHAnsi" w:cs="Segoe UI"/>
          <w:sz w:val="18"/>
          <w:szCs w:val="18"/>
        </w:rPr>
        <w:instrText xml:space="preserve"> HYPERLINK "http://www.energy-efficiency-watch.org/fileadmin/eew_document</w:instrText>
      </w:r>
      <w:r w:rsidR="00B756C6">
        <w:rPr>
          <w:rStyle w:val="Hyperlink"/>
          <w:rFonts w:asciiTheme="minorHAnsi" w:hAnsiTheme="minorHAnsi" w:cs="Segoe UI"/>
          <w:sz w:val="18"/>
          <w:szCs w:val="18"/>
        </w:rPr>
        <w:instrText xml:space="preserve">s/EEW3/Survey_Summary_EEW3/EEW3-Survey-Report-fin.pdf" </w:instrText>
      </w:r>
      <w:r w:rsidR="00B756C6">
        <w:rPr>
          <w:rStyle w:val="Hyperlink"/>
          <w:rFonts w:asciiTheme="minorHAnsi" w:hAnsiTheme="minorHAnsi" w:cs="Segoe UI"/>
          <w:sz w:val="18"/>
          <w:szCs w:val="18"/>
        </w:rPr>
        <w:fldChar w:fldCharType="separate"/>
      </w:r>
      <w:r w:rsidR="00210EEC" w:rsidRPr="003D09EF">
        <w:rPr>
          <w:rStyle w:val="Hyperlink"/>
          <w:rFonts w:asciiTheme="minorHAnsi" w:hAnsiTheme="minorHAnsi" w:cs="Segoe UI"/>
          <w:sz w:val="18"/>
          <w:szCs w:val="18"/>
        </w:rPr>
        <w:t>http://www.energy-efficiency-watch.org/fileadmin/eew_documents/EEW3/Survey_Summary_EEW3/EEW3-Survey-Report-fin.pdf</w:t>
      </w:r>
      <w:r w:rsidR="00B756C6">
        <w:rPr>
          <w:rStyle w:val="Hyperlink"/>
          <w:rFonts w:asciiTheme="minorHAnsi" w:hAnsiTheme="minorHAnsi" w:cs="Segoe UI"/>
          <w:sz w:val="18"/>
          <w:szCs w:val="18"/>
        </w:rPr>
        <w:fldChar w:fldCharType="end"/>
      </w:r>
      <w:r w:rsidR="00A47AFC"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666AD77" w14:textId="767F2B8B"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Espinosa, C., </w:t>
      </w:r>
      <w:proofErr w:type="spellStart"/>
      <w:r w:rsidRPr="00210EEC">
        <w:rPr>
          <w:rFonts w:asciiTheme="minorHAnsi" w:hAnsiTheme="minorHAnsi" w:cs="Segoe UI"/>
          <w:sz w:val="18"/>
          <w:szCs w:val="18"/>
        </w:rPr>
        <w:t>Pregernig</w:t>
      </w:r>
      <w:proofErr w:type="spellEnd"/>
      <w:r w:rsidRPr="00210EEC">
        <w:rPr>
          <w:rFonts w:asciiTheme="minorHAnsi" w:hAnsiTheme="minorHAnsi" w:cs="Segoe UI"/>
          <w:sz w:val="18"/>
          <w:szCs w:val="18"/>
        </w:rPr>
        <w:t xml:space="preserve">, M. and Fischer, C. (2017). </w:t>
      </w:r>
      <w:r w:rsidRPr="00210EEC">
        <w:rPr>
          <w:rFonts w:asciiTheme="minorHAnsi" w:hAnsiTheme="minorHAnsi" w:cs="Segoe UI"/>
          <w:i/>
          <w:iCs/>
          <w:sz w:val="18"/>
          <w:szCs w:val="18"/>
        </w:rPr>
        <w:t xml:space="preserve">Narrative und </w:t>
      </w:r>
      <w:proofErr w:type="spellStart"/>
      <w:r w:rsidRPr="00210EEC">
        <w:rPr>
          <w:rFonts w:asciiTheme="minorHAnsi" w:hAnsiTheme="minorHAnsi" w:cs="Segoe UI"/>
          <w:i/>
          <w:iCs/>
          <w:sz w:val="18"/>
          <w:szCs w:val="18"/>
        </w:rPr>
        <w:t>Diskurse</w:t>
      </w:r>
      <w:proofErr w:type="spellEnd"/>
      <w:r w:rsidRPr="00210EEC">
        <w:rPr>
          <w:rFonts w:asciiTheme="minorHAnsi" w:hAnsiTheme="minorHAnsi" w:cs="Segoe UI"/>
          <w:i/>
          <w:iCs/>
          <w:sz w:val="18"/>
          <w:szCs w:val="18"/>
        </w:rPr>
        <w:t xml:space="preserve"> in der </w:t>
      </w:r>
      <w:proofErr w:type="spellStart"/>
      <w:r w:rsidRPr="00210EEC">
        <w:rPr>
          <w:rFonts w:asciiTheme="minorHAnsi" w:hAnsiTheme="minorHAnsi" w:cs="Segoe UI"/>
          <w:i/>
          <w:iCs/>
          <w:sz w:val="18"/>
          <w:szCs w:val="18"/>
        </w:rPr>
        <w:t>Umweltpolitik</w:t>
      </w:r>
      <w:proofErr w:type="spellEnd"/>
      <w:r w:rsidRPr="00210EEC">
        <w:rPr>
          <w:rFonts w:asciiTheme="minorHAnsi" w:hAnsiTheme="minorHAnsi" w:cs="Segoe UI"/>
          <w:i/>
          <w:iCs/>
          <w:sz w:val="18"/>
          <w:szCs w:val="18"/>
        </w:rPr>
        <w:t xml:space="preserve">: </w:t>
      </w:r>
      <w:proofErr w:type="spellStart"/>
      <w:r w:rsidRPr="00210EEC">
        <w:rPr>
          <w:rFonts w:asciiTheme="minorHAnsi" w:hAnsiTheme="minorHAnsi" w:cs="Segoe UI"/>
          <w:i/>
          <w:iCs/>
          <w:sz w:val="18"/>
          <w:szCs w:val="18"/>
        </w:rPr>
        <w:t>Möglichkeiten</w:t>
      </w:r>
      <w:proofErr w:type="spellEnd"/>
      <w:r w:rsidRPr="00210EEC">
        <w:rPr>
          <w:rFonts w:asciiTheme="minorHAnsi" w:hAnsiTheme="minorHAnsi" w:cs="Segoe UI"/>
          <w:i/>
          <w:iCs/>
          <w:sz w:val="18"/>
          <w:szCs w:val="18"/>
        </w:rPr>
        <w:t xml:space="preserve"> und </w:t>
      </w:r>
      <w:proofErr w:type="spellStart"/>
      <w:r w:rsidRPr="00210EEC">
        <w:rPr>
          <w:rFonts w:asciiTheme="minorHAnsi" w:hAnsiTheme="minorHAnsi" w:cs="Segoe UI"/>
          <w:i/>
          <w:iCs/>
          <w:sz w:val="18"/>
          <w:szCs w:val="18"/>
        </w:rPr>
        <w:t>Grenzen</w:t>
      </w:r>
      <w:proofErr w:type="spellEnd"/>
      <w:r w:rsidRPr="00210EEC">
        <w:rPr>
          <w:rFonts w:asciiTheme="minorHAnsi" w:hAnsiTheme="minorHAnsi" w:cs="Segoe UI"/>
          <w:i/>
          <w:iCs/>
          <w:sz w:val="18"/>
          <w:szCs w:val="18"/>
        </w:rPr>
        <w:t xml:space="preserve"> </w:t>
      </w:r>
      <w:proofErr w:type="spellStart"/>
      <w:r w:rsidRPr="00210EEC">
        <w:rPr>
          <w:rFonts w:asciiTheme="minorHAnsi" w:hAnsiTheme="minorHAnsi" w:cs="Segoe UI"/>
          <w:i/>
          <w:iCs/>
          <w:sz w:val="18"/>
          <w:szCs w:val="18"/>
        </w:rPr>
        <w:t>ihrer</w:t>
      </w:r>
      <w:proofErr w:type="spellEnd"/>
      <w:r w:rsidRPr="00210EEC">
        <w:rPr>
          <w:rFonts w:asciiTheme="minorHAnsi" w:hAnsiTheme="minorHAnsi" w:cs="Segoe UI"/>
          <w:i/>
          <w:iCs/>
          <w:sz w:val="18"/>
          <w:szCs w:val="18"/>
        </w:rPr>
        <w:t xml:space="preserve"> </w:t>
      </w:r>
      <w:proofErr w:type="spellStart"/>
      <w:r w:rsidRPr="00210EEC">
        <w:rPr>
          <w:rFonts w:asciiTheme="minorHAnsi" w:hAnsiTheme="minorHAnsi" w:cs="Segoe UI"/>
          <w:i/>
          <w:iCs/>
          <w:sz w:val="18"/>
          <w:szCs w:val="18"/>
        </w:rPr>
        <w:t>strategischen</w:t>
      </w:r>
      <w:proofErr w:type="spellEnd"/>
      <w:r w:rsidRPr="00210EEC">
        <w:rPr>
          <w:rFonts w:asciiTheme="minorHAnsi" w:hAnsiTheme="minorHAnsi" w:cs="Segoe UI"/>
          <w:i/>
          <w:iCs/>
          <w:sz w:val="18"/>
          <w:szCs w:val="18"/>
        </w:rPr>
        <w:t xml:space="preserve"> </w:t>
      </w:r>
      <w:proofErr w:type="spellStart"/>
      <w:r w:rsidRPr="00210EEC">
        <w:rPr>
          <w:rFonts w:asciiTheme="minorHAnsi" w:hAnsiTheme="minorHAnsi" w:cs="Segoe UI"/>
          <w:i/>
          <w:iCs/>
          <w:sz w:val="18"/>
          <w:szCs w:val="18"/>
        </w:rPr>
        <w:t>Nutzung</w:t>
      </w:r>
      <w:proofErr w:type="spellEnd"/>
      <w:r w:rsidRPr="00210EEC">
        <w:rPr>
          <w:rFonts w:asciiTheme="minorHAnsi" w:hAnsiTheme="minorHAnsi" w:cs="Segoe UI"/>
          <w:i/>
          <w:iCs/>
          <w:sz w:val="18"/>
          <w:szCs w:val="18"/>
        </w:rPr>
        <w:t>.</w:t>
      </w:r>
      <w:r w:rsidRPr="00210EEC">
        <w:rPr>
          <w:rFonts w:asciiTheme="minorHAnsi" w:hAnsiTheme="minorHAnsi" w:cs="Segoe UI"/>
          <w:sz w:val="18"/>
          <w:szCs w:val="18"/>
        </w:rPr>
        <w:t xml:space="preserve"> </w:t>
      </w:r>
      <w:proofErr w:type="spellStart"/>
      <w:r w:rsidRPr="00210EEC">
        <w:rPr>
          <w:rFonts w:asciiTheme="minorHAnsi" w:hAnsiTheme="minorHAnsi" w:cs="Segoe UI"/>
          <w:sz w:val="18"/>
          <w:szCs w:val="18"/>
        </w:rPr>
        <w:t>Umweltbundesamt</w:t>
      </w:r>
      <w:proofErr w:type="spellEnd"/>
      <w:r w:rsidRPr="00210EEC">
        <w:rPr>
          <w:rFonts w:asciiTheme="minorHAnsi" w:hAnsiTheme="minorHAnsi" w:cs="Segoe UI"/>
          <w:sz w:val="18"/>
          <w:szCs w:val="18"/>
        </w:rPr>
        <w:t xml:space="preserve">. </w:t>
      </w:r>
      <w:hyperlink r:id="rId42" w:history="1">
        <w:r w:rsidR="00210EEC" w:rsidRPr="003D09EF">
          <w:rPr>
            <w:rStyle w:val="Hyperlink"/>
            <w:rFonts w:asciiTheme="minorHAnsi" w:hAnsiTheme="minorHAnsi" w:cs="Segoe UI"/>
            <w:sz w:val="18"/>
            <w:szCs w:val="18"/>
          </w:rPr>
          <w:t>https://www.umweltbundesamt.de/sites/default/files/medien/1410/publikationen/2017-09-27_texte_86-2017_narrative_0.pdf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C1998ED"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9E65172" w14:textId="1A3B2B4B"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European Commission (2010). </w:t>
      </w:r>
      <w:r w:rsidRPr="00210EEC">
        <w:rPr>
          <w:rFonts w:asciiTheme="minorHAnsi" w:hAnsiTheme="minorHAnsi" w:cs="Segoe UI"/>
          <w:i/>
          <w:iCs/>
          <w:sz w:val="18"/>
          <w:szCs w:val="18"/>
        </w:rPr>
        <w:t xml:space="preserve">Communication from the Commission to the European Parliament, the Council, the European Economic and Social Committee and the Committee of the Regions: Smart Regulation in the European Union </w:t>
      </w:r>
      <w:r w:rsidRPr="00210EEC">
        <w:rPr>
          <w:rFonts w:asciiTheme="minorHAnsi" w:hAnsiTheme="minorHAnsi" w:cs="Segoe UI"/>
          <w:sz w:val="18"/>
          <w:szCs w:val="18"/>
        </w:rPr>
        <w:t xml:space="preserve">Brussels. </w:t>
      </w:r>
      <w:hyperlink r:id="rId43" w:history="1">
        <w:r w:rsidR="00210EEC" w:rsidRPr="003D09EF">
          <w:rPr>
            <w:rStyle w:val="Hyperlink"/>
            <w:rFonts w:asciiTheme="minorHAnsi" w:hAnsiTheme="minorHAnsi" w:cs="Segoe UI"/>
            <w:sz w:val="18"/>
            <w:szCs w:val="18"/>
          </w:rPr>
          <w:t>https://eur-lex.europa.eu/legal-content/EN/TXT/PDF/?uri=CELEX:52010DC0543&amp;from=EN</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3CF574F"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45543D2" w14:textId="19D84D54"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European Environment Agency (2001). </w:t>
      </w:r>
      <w:r w:rsidRPr="00210EEC">
        <w:rPr>
          <w:rFonts w:asciiTheme="minorHAnsi" w:hAnsiTheme="minorHAnsi" w:cs="Segoe UI"/>
          <w:i/>
          <w:iCs/>
          <w:sz w:val="18"/>
          <w:szCs w:val="18"/>
        </w:rPr>
        <w:t>Reporting on Environmental Measures: Are we Being Effective?</w:t>
      </w:r>
      <w:r w:rsidRPr="00210EEC">
        <w:rPr>
          <w:rFonts w:asciiTheme="minorHAnsi" w:hAnsiTheme="minorHAnsi" w:cs="Segoe UI"/>
          <w:sz w:val="18"/>
          <w:szCs w:val="18"/>
        </w:rPr>
        <w:t xml:space="preserve"> Environmental Issue Report. Copenhagen: European Environment Agency. </w:t>
      </w:r>
      <w:hyperlink r:id="rId44" w:history="1">
        <w:r w:rsidR="00210EEC" w:rsidRPr="003D09EF">
          <w:rPr>
            <w:rStyle w:val="Hyperlink"/>
            <w:rFonts w:asciiTheme="minorHAnsi" w:hAnsiTheme="minorHAnsi" w:cs="Segoe UI"/>
            <w:sz w:val="18"/>
            <w:szCs w:val="18"/>
          </w:rPr>
          <w:t>https://www.eea.europa.eu/publications/rem/issue25.pdf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617AC20"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533237D" w14:textId="23FC5D9B"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European Environment Agency (2006). </w:t>
      </w:r>
      <w:r w:rsidRPr="00210EEC">
        <w:rPr>
          <w:rFonts w:asciiTheme="minorHAnsi" w:hAnsiTheme="minorHAnsi" w:cs="Segoe UI"/>
          <w:i/>
          <w:iCs/>
          <w:sz w:val="18"/>
          <w:szCs w:val="18"/>
        </w:rPr>
        <w:t>Policy Effectiveness Evaluation: The Effectiveness of Urban Wastewater Treatment and Packaging Waste Management Systems.</w:t>
      </w:r>
      <w:r w:rsidRPr="00210EEC">
        <w:rPr>
          <w:rFonts w:asciiTheme="minorHAnsi" w:hAnsiTheme="minorHAnsi" w:cs="Segoe UI"/>
          <w:sz w:val="18"/>
          <w:szCs w:val="18"/>
        </w:rPr>
        <w:t xml:space="preserve"> Copenhagen K, Denmark. </w:t>
      </w:r>
      <w:hyperlink r:id="rId45" w:history="1">
        <w:r w:rsidR="00210EEC" w:rsidRPr="003D09EF">
          <w:rPr>
            <w:rStyle w:val="Hyperlink"/>
            <w:rFonts w:asciiTheme="minorHAnsi" w:hAnsiTheme="minorHAnsi" w:cs="Segoe UI"/>
            <w:sz w:val="18"/>
            <w:szCs w:val="18"/>
          </w:rPr>
          <w:t>https://publications.europa.eu/en/publication-detail/-/publication/7c46337b-cfd7-4a13-8c83-082bcd5f2d13</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5E54069"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6E4D95B" w14:textId="1A6A2B02"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European Environment Agency (2014). </w:t>
      </w:r>
      <w:r w:rsidRPr="00210EEC">
        <w:rPr>
          <w:rFonts w:asciiTheme="minorHAnsi" w:hAnsiTheme="minorHAnsi" w:cs="Segoe UI"/>
          <w:i/>
          <w:iCs/>
          <w:sz w:val="18"/>
          <w:szCs w:val="18"/>
        </w:rPr>
        <w:t>Resource-Efficient Green Economy and EU Policies.</w:t>
      </w:r>
      <w:r w:rsidRPr="00210EEC">
        <w:rPr>
          <w:rFonts w:asciiTheme="minorHAnsi" w:hAnsiTheme="minorHAnsi" w:cs="Segoe UI"/>
          <w:sz w:val="18"/>
          <w:szCs w:val="18"/>
        </w:rPr>
        <w:t xml:space="preserve"> Copenhagen. </w:t>
      </w:r>
      <w:hyperlink r:id="rId46" w:history="1">
        <w:r w:rsidR="00210EEC" w:rsidRPr="003D09EF">
          <w:rPr>
            <w:rStyle w:val="Hyperlink"/>
            <w:rFonts w:asciiTheme="minorHAnsi" w:hAnsiTheme="minorHAnsi" w:cs="Segoe UI"/>
            <w:sz w:val="18"/>
            <w:szCs w:val="18"/>
          </w:rPr>
          <w:t>https://www.eea.europa.eu/publications/resourceefficient-green-economy-and-eu/at_download/file</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4735067"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6E038CF" w14:textId="12EEEC38"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lastRenderedPageBreak/>
        <w:t xml:space="preserve">Falkner, R. (2016). The Paris Agreement and the new logic of international climate politics. </w:t>
      </w:r>
      <w:r w:rsidRPr="00210EEC">
        <w:rPr>
          <w:rFonts w:asciiTheme="minorHAnsi" w:hAnsiTheme="minorHAnsi" w:cs="Segoe UI"/>
          <w:i/>
          <w:iCs/>
          <w:sz w:val="18"/>
          <w:szCs w:val="18"/>
        </w:rPr>
        <w:t>International Affairs</w:t>
      </w:r>
      <w:r w:rsidRPr="00210EEC">
        <w:rPr>
          <w:rFonts w:asciiTheme="minorHAnsi" w:hAnsiTheme="minorHAnsi" w:cs="Segoe UI"/>
          <w:sz w:val="18"/>
          <w:szCs w:val="18"/>
        </w:rPr>
        <w:t xml:space="preserve"> 92(5), 1107-1125. </w:t>
      </w:r>
      <w:hyperlink r:id="rId47" w:history="1">
        <w:r w:rsidR="00210EEC" w:rsidRPr="003D09EF">
          <w:rPr>
            <w:rStyle w:val="Hyperlink"/>
            <w:rFonts w:asciiTheme="minorHAnsi" w:hAnsiTheme="minorHAnsi" w:cs="Segoe UI"/>
            <w:sz w:val="18"/>
            <w:szCs w:val="18"/>
          </w:rPr>
          <w:t>https://doi.org/10.1111/1468-2346.12708</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2F062A6"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2B05411D" w14:textId="20F7D7CC"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Flanagan, K., </w:t>
      </w:r>
      <w:proofErr w:type="spellStart"/>
      <w:r w:rsidRPr="00210EEC">
        <w:rPr>
          <w:rFonts w:asciiTheme="minorHAnsi" w:hAnsiTheme="minorHAnsi" w:cs="Segoe UI"/>
          <w:sz w:val="18"/>
          <w:szCs w:val="18"/>
        </w:rPr>
        <w:t>Uyarra</w:t>
      </w:r>
      <w:proofErr w:type="spellEnd"/>
      <w:r w:rsidRPr="00210EEC">
        <w:rPr>
          <w:rFonts w:asciiTheme="minorHAnsi" w:hAnsiTheme="minorHAnsi" w:cs="Segoe UI"/>
          <w:sz w:val="18"/>
          <w:szCs w:val="18"/>
        </w:rPr>
        <w:t xml:space="preserve">, E. and </w:t>
      </w:r>
      <w:proofErr w:type="spellStart"/>
      <w:r w:rsidRPr="00210EEC">
        <w:rPr>
          <w:rFonts w:asciiTheme="minorHAnsi" w:hAnsiTheme="minorHAnsi" w:cs="Segoe UI"/>
          <w:sz w:val="18"/>
          <w:szCs w:val="18"/>
        </w:rPr>
        <w:t>Laranja</w:t>
      </w:r>
      <w:proofErr w:type="spellEnd"/>
      <w:r w:rsidRPr="00210EEC">
        <w:rPr>
          <w:rFonts w:asciiTheme="minorHAnsi" w:hAnsiTheme="minorHAnsi" w:cs="Segoe UI"/>
          <w:sz w:val="18"/>
          <w:szCs w:val="18"/>
        </w:rPr>
        <w:t xml:space="preserve">, M. (2011). Reconceptualising the 'policy mix' for innovation. </w:t>
      </w:r>
      <w:r w:rsidRPr="00210EEC">
        <w:rPr>
          <w:rFonts w:asciiTheme="minorHAnsi" w:hAnsiTheme="minorHAnsi" w:cs="Segoe UI"/>
          <w:i/>
          <w:iCs/>
          <w:sz w:val="18"/>
          <w:szCs w:val="18"/>
        </w:rPr>
        <w:t>Research Policy</w:t>
      </w:r>
      <w:r w:rsidRPr="00210EEC">
        <w:rPr>
          <w:rFonts w:asciiTheme="minorHAnsi" w:hAnsiTheme="minorHAnsi" w:cs="Segoe UI"/>
          <w:sz w:val="18"/>
          <w:szCs w:val="18"/>
        </w:rPr>
        <w:t xml:space="preserve"> 40(5), 702-713. </w:t>
      </w:r>
      <w:hyperlink r:id="rId48" w:history="1">
        <w:r w:rsidR="00210EEC" w:rsidRPr="003D09EF">
          <w:rPr>
            <w:rStyle w:val="Hyperlink"/>
            <w:rFonts w:asciiTheme="minorHAnsi" w:hAnsiTheme="minorHAnsi" w:cs="Segoe UI"/>
            <w:sz w:val="18"/>
            <w:szCs w:val="18"/>
          </w:rPr>
          <w:t>https://doi.org/10.1016/j.respol.2011.02.005</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039FC1F7"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22E0DEB3" w14:textId="38AD51C8"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Ford, J.A., Steen, J. and </w:t>
      </w:r>
      <w:proofErr w:type="spellStart"/>
      <w:r w:rsidRPr="00210EEC">
        <w:rPr>
          <w:rFonts w:asciiTheme="minorHAnsi" w:hAnsiTheme="minorHAnsi" w:cs="Segoe UI"/>
          <w:sz w:val="18"/>
          <w:szCs w:val="18"/>
        </w:rPr>
        <w:t>Verreynne</w:t>
      </w:r>
      <w:proofErr w:type="spellEnd"/>
      <w:r w:rsidRPr="00210EEC">
        <w:rPr>
          <w:rFonts w:asciiTheme="minorHAnsi" w:hAnsiTheme="minorHAnsi" w:cs="Segoe UI"/>
          <w:sz w:val="18"/>
          <w:szCs w:val="18"/>
        </w:rPr>
        <w:t xml:space="preserve">, M.-L. (2014). How environmental regulations affect innovation in the Australian oil and gas industry: Going beyond the Porter Hypothesis. </w:t>
      </w:r>
      <w:r w:rsidRPr="00210EEC">
        <w:rPr>
          <w:rFonts w:asciiTheme="minorHAnsi" w:hAnsiTheme="minorHAnsi" w:cs="Segoe UI"/>
          <w:i/>
          <w:iCs/>
          <w:sz w:val="18"/>
          <w:szCs w:val="18"/>
        </w:rPr>
        <w:t>Journal of Cleaner Production</w:t>
      </w:r>
      <w:r w:rsidRPr="00210EEC">
        <w:rPr>
          <w:rFonts w:asciiTheme="minorHAnsi" w:hAnsiTheme="minorHAnsi" w:cs="Segoe UI"/>
          <w:sz w:val="18"/>
          <w:szCs w:val="18"/>
        </w:rPr>
        <w:t xml:space="preserve"> 84, 204-213. </w:t>
      </w:r>
      <w:hyperlink r:id="rId49" w:history="1">
        <w:r w:rsidR="00210EEC" w:rsidRPr="003D09EF">
          <w:rPr>
            <w:rStyle w:val="Hyperlink"/>
            <w:rFonts w:asciiTheme="minorHAnsi" w:hAnsiTheme="minorHAnsi" w:cs="Segoe UI"/>
            <w:sz w:val="18"/>
            <w:szCs w:val="18"/>
          </w:rPr>
          <w:t>https://doi.org/10.1016/j.jclepro.2013.12.062</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7CC34D2"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013342E" w14:textId="266F168D"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Gehring, T. and </w:t>
      </w:r>
      <w:proofErr w:type="spellStart"/>
      <w:r w:rsidRPr="00210EEC">
        <w:rPr>
          <w:rFonts w:asciiTheme="minorHAnsi" w:hAnsiTheme="minorHAnsi" w:cs="Segoe UI"/>
          <w:sz w:val="18"/>
          <w:szCs w:val="18"/>
        </w:rPr>
        <w:t>Oberthür</w:t>
      </w:r>
      <w:proofErr w:type="spellEnd"/>
      <w:r w:rsidRPr="00210EEC">
        <w:rPr>
          <w:rFonts w:asciiTheme="minorHAnsi" w:hAnsiTheme="minorHAnsi" w:cs="Segoe UI"/>
          <w:sz w:val="18"/>
          <w:szCs w:val="18"/>
        </w:rPr>
        <w:t xml:space="preserve">, S. (2009). The causal mechanisms of interaction between international institutions. </w:t>
      </w:r>
      <w:r w:rsidRPr="00210EEC">
        <w:rPr>
          <w:rFonts w:asciiTheme="minorHAnsi" w:hAnsiTheme="minorHAnsi" w:cs="Segoe UI"/>
          <w:i/>
          <w:iCs/>
          <w:sz w:val="18"/>
          <w:szCs w:val="18"/>
        </w:rPr>
        <w:t>European Journal of International Relations</w:t>
      </w:r>
      <w:r w:rsidRPr="00210EEC">
        <w:rPr>
          <w:rFonts w:asciiTheme="minorHAnsi" w:hAnsiTheme="minorHAnsi" w:cs="Segoe UI"/>
          <w:sz w:val="18"/>
          <w:szCs w:val="18"/>
        </w:rPr>
        <w:t xml:space="preserve"> 15(1), 125–156. </w:t>
      </w:r>
      <w:hyperlink r:id="rId50" w:history="1">
        <w:r w:rsidR="00210EEC" w:rsidRPr="003D09EF">
          <w:rPr>
            <w:rStyle w:val="Hyperlink"/>
            <w:rFonts w:asciiTheme="minorHAnsi" w:hAnsiTheme="minorHAnsi" w:cs="Segoe UI"/>
            <w:sz w:val="18"/>
            <w:szCs w:val="18"/>
          </w:rPr>
          <w:t>https://doi.org/10.1177/1354066108100055</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BC5A505"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858A8A0" w14:textId="14F96B26"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Gitari</w:t>
      </w:r>
      <w:proofErr w:type="spellEnd"/>
      <w:r w:rsidRPr="00210EEC">
        <w:rPr>
          <w:rFonts w:asciiTheme="minorHAnsi" w:hAnsiTheme="minorHAnsi" w:cs="Segoe UI"/>
          <w:sz w:val="18"/>
          <w:szCs w:val="18"/>
        </w:rPr>
        <w:t xml:space="preserve">, E., </w:t>
      </w:r>
      <w:proofErr w:type="spellStart"/>
      <w:r w:rsidRPr="00210EEC">
        <w:rPr>
          <w:rFonts w:asciiTheme="minorHAnsi" w:hAnsiTheme="minorHAnsi" w:cs="Segoe UI"/>
          <w:sz w:val="18"/>
          <w:szCs w:val="18"/>
        </w:rPr>
        <w:t>Kahumbu</w:t>
      </w:r>
      <w:proofErr w:type="spellEnd"/>
      <w:r w:rsidRPr="00210EEC">
        <w:rPr>
          <w:rFonts w:asciiTheme="minorHAnsi" w:hAnsiTheme="minorHAnsi" w:cs="Segoe UI"/>
          <w:sz w:val="18"/>
          <w:szCs w:val="18"/>
        </w:rPr>
        <w:t xml:space="preserve">, P., </w:t>
      </w:r>
      <w:proofErr w:type="spellStart"/>
      <w:r w:rsidRPr="00210EEC">
        <w:rPr>
          <w:rFonts w:asciiTheme="minorHAnsi" w:hAnsiTheme="minorHAnsi" w:cs="Segoe UI"/>
          <w:sz w:val="18"/>
          <w:szCs w:val="18"/>
        </w:rPr>
        <w:t>Jayanathan</w:t>
      </w:r>
      <w:proofErr w:type="spellEnd"/>
      <w:r w:rsidRPr="00210EEC">
        <w:rPr>
          <w:rFonts w:asciiTheme="minorHAnsi" w:hAnsiTheme="minorHAnsi" w:cs="Segoe UI"/>
          <w:sz w:val="18"/>
          <w:szCs w:val="18"/>
        </w:rPr>
        <w:t xml:space="preserve">, S., </w:t>
      </w:r>
      <w:proofErr w:type="spellStart"/>
      <w:r w:rsidRPr="00210EEC">
        <w:rPr>
          <w:rFonts w:asciiTheme="minorHAnsi" w:hAnsiTheme="minorHAnsi" w:cs="Segoe UI"/>
          <w:sz w:val="18"/>
          <w:szCs w:val="18"/>
        </w:rPr>
        <w:t>Karani</w:t>
      </w:r>
      <w:proofErr w:type="spellEnd"/>
      <w:r w:rsidRPr="00210EEC">
        <w:rPr>
          <w:rFonts w:asciiTheme="minorHAnsi" w:hAnsiTheme="minorHAnsi" w:cs="Segoe UI"/>
          <w:sz w:val="18"/>
          <w:szCs w:val="18"/>
        </w:rPr>
        <w:t xml:space="preserve">, J., </w:t>
      </w:r>
      <w:proofErr w:type="spellStart"/>
      <w:r w:rsidRPr="00210EEC">
        <w:rPr>
          <w:rFonts w:asciiTheme="minorHAnsi" w:hAnsiTheme="minorHAnsi" w:cs="Segoe UI"/>
          <w:sz w:val="18"/>
          <w:szCs w:val="18"/>
        </w:rPr>
        <w:t>Maranga</w:t>
      </w:r>
      <w:proofErr w:type="spellEnd"/>
      <w:r w:rsidRPr="00210EEC">
        <w:rPr>
          <w:rFonts w:asciiTheme="minorHAnsi" w:hAnsiTheme="minorHAnsi" w:cs="Segoe UI"/>
          <w:sz w:val="18"/>
          <w:szCs w:val="18"/>
        </w:rPr>
        <w:t xml:space="preserve">, W., </w:t>
      </w:r>
      <w:proofErr w:type="spellStart"/>
      <w:r w:rsidRPr="00210EEC">
        <w:rPr>
          <w:rFonts w:asciiTheme="minorHAnsi" w:hAnsiTheme="minorHAnsi" w:cs="Segoe UI"/>
          <w:sz w:val="18"/>
          <w:szCs w:val="18"/>
        </w:rPr>
        <w:t>Muliro</w:t>
      </w:r>
      <w:proofErr w:type="spellEnd"/>
      <w:r w:rsidRPr="00210EEC">
        <w:rPr>
          <w:rFonts w:asciiTheme="minorHAnsi" w:hAnsiTheme="minorHAnsi" w:cs="Segoe UI"/>
          <w:sz w:val="18"/>
          <w:szCs w:val="18"/>
        </w:rPr>
        <w:t>, N.</w:t>
      </w:r>
      <w:r w:rsidRPr="00210EEC">
        <w:rPr>
          <w:rFonts w:asciiTheme="minorHAnsi" w:hAnsiTheme="minorHAnsi" w:cs="Segoe UI"/>
          <w:i/>
          <w:iCs/>
          <w:sz w:val="18"/>
          <w:szCs w:val="18"/>
        </w:rPr>
        <w:t xml:space="preserve"> et al.</w:t>
      </w:r>
      <w:r w:rsidRPr="00210EEC">
        <w:rPr>
          <w:rFonts w:asciiTheme="minorHAnsi" w:hAnsiTheme="minorHAnsi" w:cs="Segoe UI"/>
          <w:sz w:val="18"/>
          <w:szCs w:val="18"/>
        </w:rPr>
        <w:t xml:space="preserve"> (2016). </w:t>
      </w:r>
      <w:r w:rsidRPr="00210EEC">
        <w:rPr>
          <w:rFonts w:asciiTheme="minorHAnsi" w:hAnsiTheme="minorHAnsi" w:cs="Segoe UI"/>
          <w:i/>
          <w:iCs/>
          <w:sz w:val="18"/>
          <w:szCs w:val="18"/>
        </w:rPr>
        <w:t>Outcome of Court Trials in the First Two Years of Implementation of the Wildlife Conservation and Management Act, 2013: Courtroom Monitoring Report, 2014 and 2015.</w:t>
      </w:r>
      <w:r w:rsidRPr="00210EEC">
        <w:rPr>
          <w:rFonts w:asciiTheme="minorHAnsi" w:hAnsiTheme="minorHAnsi" w:cs="Segoe UI"/>
          <w:sz w:val="18"/>
          <w:szCs w:val="18"/>
        </w:rPr>
        <w:t xml:space="preserve"> Nairobi, Kenya: Wildlife Direct. </w:t>
      </w:r>
      <w:hyperlink r:id="rId51" w:history="1">
        <w:r w:rsidR="00210EEC" w:rsidRPr="003D09EF">
          <w:rPr>
            <w:rStyle w:val="Hyperlink"/>
            <w:rFonts w:asciiTheme="minorHAnsi" w:hAnsiTheme="minorHAnsi" w:cs="Segoe UI"/>
            <w:sz w:val="18"/>
            <w:szCs w:val="18"/>
          </w:rPr>
          <w:t>https://wildlifedirect.org/wp-content/uploads/2017/03/WildlifeDirect-Courtroom-Monitoring-Report1.pdf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0C49ECFA"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B14E70D" w14:textId="1669EAC8"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Government of Nepal, National Planning Commission, United Nations Development Programme, United Nations Environment Programme and Capacity Development for Development Effectiveness Facility for Asia Pacific (2011). </w:t>
      </w:r>
      <w:r w:rsidRPr="00210EEC">
        <w:rPr>
          <w:rFonts w:asciiTheme="minorHAnsi" w:hAnsiTheme="minorHAnsi" w:cs="Segoe UI"/>
          <w:i/>
          <w:iCs/>
          <w:sz w:val="18"/>
          <w:szCs w:val="18"/>
        </w:rPr>
        <w:t>Nepal Climate Public Expenditure and Institutional Review.</w:t>
      </w:r>
      <w:r w:rsidRPr="00210EEC">
        <w:rPr>
          <w:rFonts w:asciiTheme="minorHAnsi" w:hAnsiTheme="minorHAnsi" w:cs="Segoe UI"/>
          <w:sz w:val="18"/>
          <w:szCs w:val="18"/>
        </w:rPr>
        <w:t xml:space="preserve"> Kathmandu: National Planning Commission, Government of Nepal. </w:t>
      </w:r>
      <w:hyperlink r:id="rId52" w:history="1">
        <w:r w:rsidR="00210EEC" w:rsidRPr="003D09EF">
          <w:rPr>
            <w:rStyle w:val="Hyperlink"/>
            <w:rFonts w:asciiTheme="minorHAnsi" w:hAnsiTheme="minorHAnsi" w:cs="Segoe UI"/>
            <w:sz w:val="18"/>
            <w:szCs w:val="18"/>
          </w:rPr>
          <w:t>https://www.climatefinance-developmenteffectiveness.org/sites/default/files/documents/05_02_15/Nepal_CPEIR_Report_2011.pdf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BF081FD"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4B79D75" w14:textId="23F3A7CA"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Graham, E.R., </w:t>
      </w:r>
      <w:proofErr w:type="spellStart"/>
      <w:r w:rsidRPr="00210EEC">
        <w:rPr>
          <w:rFonts w:asciiTheme="minorHAnsi" w:hAnsiTheme="minorHAnsi" w:cs="Segoe UI"/>
          <w:sz w:val="18"/>
          <w:szCs w:val="18"/>
        </w:rPr>
        <w:t>Shipan</w:t>
      </w:r>
      <w:proofErr w:type="spellEnd"/>
      <w:r w:rsidRPr="00210EEC">
        <w:rPr>
          <w:rFonts w:asciiTheme="minorHAnsi" w:hAnsiTheme="minorHAnsi" w:cs="Segoe UI"/>
          <w:sz w:val="18"/>
          <w:szCs w:val="18"/>
        </w:rPr>
        <w:t xml:space="preserve">, C.R. and </w:t>
      </w:r>
      <w:proofErr w:type="spellStart"/>
      <w:r w:rsidRPr="00210EEC">
        <w:rPr>
          <w:rFonts w:asciiTheme="minorHAnsi" w:hAnsiTheme="minorHAnsi" w:cs="Segoe UI"/>
          <w:sz w:val="18"/>
          <w:szCs w:val="18"/>
        </w:rPr>
        <w:t>Volden</w:t>
      </w:r>
      <w:proofErr w:type="spellEnd"/>
      <w:r w:rsidRPr="00210EEC">
        <w:rPr>
          <w:rFonts w:asciiTheme="minorHAnsi" w:hAnsiTheme="minorHAnsi" w:cs="Segoe UI"/>
          <w:sz w:val="18"/>
          <w:szCs w:val="18"/>
        </w:rPr>
        <w:t xml:space="preserve">, C. (2013). The diffusion of policy diffusion research in political science. </w:t>
      </w:r>
      <w:r w:rsidRPr="00210EEC">
        <w:rPr>
          <w:rFonts w:asciiTheme="minorHAnsi" w:hAnsiTheme="minorHAnsi" w:cs="Segoe UI"/>
          <w:i/>
          <w:iCs/>
          <w:sz w:val="18"/>
          <w:szCs w:val="18"/>
        </w:rPr>
        <w:t>British Journal of Political Science</w:t>
      </w:r>
      <w:r w:rsidRPr="00210EEC">
        <w:rPr>
          <w:rFonts w:asciiTheme="minorHAnsi" w:hAnsiTheme="minorHAnsi" w:cs="Segoe UI"/>
          <w:sz w:val="18"/>
          <w:szCs w:val="18"/>
        </w:rPr>
        <w:t xml:space="preserve"> 43(3), 673-701. </w:t>
      </w:r>
      <w:hyperlink r:id="rId53" w:history="1">
        <w:r w:rsidR="00210EEC" w:rsidRPr="003D09EF">
          <w:rPr>
            <w:rStyle w:val="Hyperlink"/>
            <w:rFonts w:asciiTheme="minorHAnsi" w:hAnsiTheme="minorHAnsi" w:cs="Segoe UI"/>
            <w:sz w:val="18"/>
            <w:szCs w:val="18"/>
          </w:rPr>
          <w:t>https://doi.org/10.1017/s0007123412000415</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3203D1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6D5506F" w14:textId="6579E25D"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Gray</w:t>
      </w:r>
      <w:proofErr w:type="spellEnd"/>
      <w:r w:rsidRPr="00210EEC">
        <w:rPr>
          <w:rFonts w:asciiTheme="minorHAnsi" w:hAnsiTheme="minorHAnsi" w:cs="Segoe UI"/>
          <w:sz w:val="18"/>
          <w:szCs w:val="18"/>
        </w:rPr>
        <w:t xml:space="preserve">, W.B. and </w:t>
      </w:r>
      <w:proofErr w:type="spellStart"/>
      <w:r w:rsidRPr="00210EEC">
        <w:rPr>
          <w:rFonts w:asciiTheme="minorHAnsi" w:hAnsiTheme="minorHAnsi" w:cs="Segoe UI"/>
          <w:sz w:val="18"/>
          <w:szCs w:val="18"/>
        </w:rPr>
        <w:t>Shimshack</w:t>
      </w:r>
      <w:proofErr w:type="spellEnd"/>
      <w:r w:rsidRPr="00210EEC">
        <w:rPr>
          <w:rFonts w:asciiTheme="minorHAnsi" w:hAnsiTheme="minorHAnsi" w:cs="Segoe UI"/>
          <w:sz w:val="18"/>
          <w:szCs w:val="18"/>
        </w:rPr>
        <w:t xml:space="preserve">, J.P. (2011). The effectiveness of environmental monitoring and enforcement: A review of the empirical evidence. </w:t>
      </w:r>
      <w:r w:rsidRPr="00210EEC">
        <w:rPr>
          <w:rFonts w:asciiTheme="minorHAnsi" w:hAnsiTheme="minorHAnsi" w:cs="Segoe UI"/>
          <w:i/>
          <w:iCs/>
          <w:sz w:val="18"/>
          <w:szCs w:val="18"/>
        </w:rPr>
        <w:t>Review of Environmental Economics and Policy</w:t>
      </w:r>
      <w:r w:rsidRPr="00210EEC">
        <w:rPr>
          <w:rFonts w:asciiTheme="minorHAnsi" w:hAnsiTheme="minorHAnsi" w:cs="Segoe UI"/>
          <w:sz w:val="18"/>
          <w:szCs w:val="18"/>
        </w:rPr>
        <w:t xml:space="preserve"> 5(1), 3-24. </w:t>
      </w:r>
      <w:hyperlink r:id="rId54" w:history="1">
        <w:r w:rsidR="00210EEC" w:rsidRPr="003D09EF">
          <w:rPr>
            <w:rStyle w:val="Hyperlink"/>
            <w:rFonts w:asciiTheme="minorHAnsi" w:hAnsiTheme="minorHAnsi" w:cs="Segoe UI"/>
            <w:sz w:val="18"/>
            <w:szCs w:val="18"/>
          </w:rPr>
          <w:t>https://doi.org/10.1093/reep/req017</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07B966E"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046C736" w14:textId="1536432F"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Gutner, T. and Thompson, A. (2010). The politics of IO performance: A framework. </w:t>
      </w:r>
      <w:r w:rsidRPr="00210EEC">
        <w:rPr>
          <w:rFonts w:asciiTheme="minorHAnsi" w:hAnsiTheme="minorHAnsi" w:cs="Segoe UI"/>
          <w:i/>
          <w:iCs/>
          <w:sz w:val="18"/>
          <w:szCs w:val="18"/>
        </w:rPr>
        <w:t>The Review of International Organizations</w:t>
      </w:r>
      <w:r w:rsidRPr="00210EEC">
        <w:rPr>
          <w:rFonts w:asciiTheme="minorHAnsi" w:hAnsiTheme="minorHAnsi" w:cs="Segoe UI"/>
          <w:sz w:val="18"/>
          <w:szCs w:val="18"/>
        </w:rPr>
        <w:t xml:space="preserve"> 5(3), 227-248. </w:t>
      </w:r>
      <w:hyperlink r:id="rId55" w:history="1">
        <w:r w:rsidR="00210EEC" w:rsidRPr="003D09EF">
          <w:rPr>
            <w:rStyle w:val="Hyperlink"/>
            <w:rFonts w:asciiTheme="minorHAnsi" w:hAnsiTheme="minorHAnsi" w:cs="Segoe UI"/>
            <w:sz w:val="18"/>
            <w:szCs w:val="18"/>
          </w:rPr>
          <w:t>https://doi.org/10.1007/s11558-010-9096-z</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65546DE"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08CB433" w14:textId="46754D14"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Haas, P.M., Keohane, R.O. and Levy, M.A. (eds.) (1993). </w:t>
      </w:r>
      <w:r w:rsidRPr="00210EEC">
        <w:rPr>
          <w:rFonts w:asciiTheme="minorHAnsi" w:hAnsiTheme="minorHAnsi" w:cs="Segoe UI"/>
          <w:i/>
          <w:iCs/>
          <w:sz w:val="18"/>
          <w:szCs w:val="18"/>
        </w:rPr>
        <w:t>Institutions for the Earth: Sources of Effective International Environmental Protection</w:t>
      </w:r>
      <w:r w:rsidRPr="00210EEC">
        <w:rPr>
          <w:rFonts w:asciiTheme="minorHAnsi" w:hAnsiTheme="minorHAnsi" w:cs="Segoe UI"/>
          <w:sz w:val="18"/>
          <w:szCs w:val="18"/>
        </w:rPr>
        <w:t xml:space="preserve">. Cambridge, MA: MIT Press. </w:t>
      </w:r>
      <w:hyperlink r:id="rId56" w:history="1">
        <w:r w:rsidR="00210EEC" w:rsidRPr="003D09EF">
          <w:rPr>
            <w:rStyle w:val="Hyperlink"/>
            <w:rFonts w:asciiTheme="minorHAnsi" w:hAnsiTheme="minorHAnsi" w:cs="Segoe UI"/>
            <w:sz w:val="18"/>
            <w:szCs w:val="18"/>
          </w:rPr>
          <w:t>https://mitpress.mit.edu/books/institutions-earth</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0E9E49D"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7F43DF0" w14:textId="37AC78FC"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Heichel</w:t>
      </w:r>
      <w:proofErr w:type="spellEnd"/>
      <w:r w:rsidRPr="00210EEC">
        <w:rPr>
          <w:rFonts w:asciiTheme="minorHAnsi" w:hAnsiTheme="minorHAnsi" w:cs="Segoe UI"/>
          <w:sz w:val="18"/>
          <w:szCs w:val="18"/>
        </w:rPr>
        <w:t xml:space="preserve">, S., </w:t>
      </w:r>
      <w:proofErr w:type="spellStart"/>
      <w:r w:rsidRPr="00210EEC">
        <w:rPr>
          <w:rFonts w:asciiTheme="minorHAnsi" w:hAnsiTheme="minorHAnsi" w:cs="Segoe UI"/>
          <w:sz w:val="18"/>
          <w:szCs w:val="18"/>
        </w:rPr>
        <w:t>Holzinger</w:t>
      </w:r>
      <w:proofErr w:type="spellEnd"/>
      <w:r w:rsidRPr="00210EEC">
        <w:rPr>
          <w:rFonts w:asciiTheme="minorHAnsi" w:hAnsiTheme="minorHAnsi" w:cs="Segoe UI"/>
          <w:sz w:val="18"/>
          <w:szCs w:val="18"/>
        </w:rPr>
        <w:t xml:space="preserve">, K., Sommerer, T., </w:t>
      </w:r>
      <w:proofErr w:type="spellStart"/>
      <w:r w:rsidRPr="00210EEC">
        <w:rPr>
          <w:rFonts w:asciiTheme="minorHAnsi" w:hAnsiTheme="minorHAnsi" w:cs="Segoe UI"/>
          <w:sz w:val="18"/>
          <w:szCs w:val="18"/>
        </w:rPr>
        <w:t>Liefferink</w:t>
      </w:r>
      <w:proofErr w:type="spellEnd"/>
      <w:r w:rsidRPr="00210EEC">
        <w:rPr>
          <w:rFonts w:asciiTheme="minorHAnsi" w:hAnsiTheme="minorHAnsi" w:cs="Segoe UI"/>
          <w:sz w:val="18"/>
          <w:szCs w:val="18"/>
        </w:rPr>
        <w:t xml:space="preserve">, D., Pape, J. and </w:t>
      </w:r>
      <w:proofErr w:type="spellStart"/>
      <w:r w:rsidRPr="00210EEC">
        <w:rPr>
          <w:rFonts w:asciiTheme="minorHAnsi" w:hAnsiTheme="minorHAnsi" w:cs="Segoe UI"/>
          <w:sz w:val="18"/>
          <w:szCs w:val="18"/>
        </w:rPr>
        <w:t>Veenman</w:t>
      </w:r>
      <w:proofErr w:type="spellEnd"/>
      <w:r w:rsidRPr="00210EEC">
        <w:rPr>
          <w:rFonts w:asciiTheme="minorHAnsi" w:hAnsiTheme="minorHAnsi" w:cs="Segoe UI"/>
          <w:sz w:val="18"/>
          <w:szCs w:val="18"/>
        </w:rPr>
        <w:t xml:space="preserve">, S. (2008). Research design, variables and data. In </w:t>
      </w:r>
      <w:r w:rsidRPr="00210EEC">
        <w:rPr>
          <w:rFonts w:asciiTheme="minorHAnsi" w:hAnsiTheme="minorHAnsi" w:cs="Segoe UI"/>
          <w:i/>
          <w:iCs/>
          <w:sz w:val="18"/>
          <w:szCs w:val="18"/>
        </w:rPr>
        <w:t>Environmental Policy Convergence in Europe: The Impact of International Institutions and Trade.</w:t>
      </w:r>
      <w:r w:rsidRPr="00210EEC">
        <w:rPr>
          <w:rFonts w:asciiTheme="minorHAnsi" w:hAnsiTheme="minorHAnsi" w:cs="Segoe UI"/>
          <w:sz w:val="18"/>
          <w:szCs w:val="18"/>
        </w:rPr>
        <w:t xml:space="preserve"> </w:t>
      </w:r>
      <w:proofErr w:type="spellStart"/>
      <w:r w:rsidRPr="00210EEC">
        <w:rPr>
          <w:rFonts w:asciiTheme="minorHAnsi" w:hAnsiTheme="minorHAnsi" w:cs="Segoe UI"/>
          <w:sz w:val="18"/>
          <w:szCs w:val="18"/>
        </w:rPr>
        <w:t>Holzinger</w:t>
      </w:r>
      <w:proofErr w:type="spellEnd"/>
      <w:r w:rsidRPr="00210EEC">
        <w:rPr>
          <w:rFonts w:asciiTheme="minorHAnsi" w:hAnsiTheme="minorHAnsi" w:cs="Segoe UI"/>
          <w:sz w:val="18"/>
          <w:szCs w:val="18"/>
        </w:rPr>
        <w:t xml:space="preserve">, K., </w:t>
      </w:r>
      <w:proofErr w:type="spellStart"/>
      <w:r w:rsidRPr="00210EEC">
        <w:rPr>
          <w:rFonts w:asciiTheme="minorHAnsi" w:hAnsiTheme="minorHAnsi" w:cs="Segoe UI"/>
          <w:sz w:val="18"/>
          <w:szCs w:val="18"/>
        </w:rPr>
        <w:t>Knill</w:t>
      </w:r>
      <w:proofErr w:type="spellEnd"/>
      <w:r w:rsidRPr="00210EEC">
        <w:rPr>
          <w:rFonts w:asciiTheme="minorHAnsi" w:hAnsiTheme="minorHAnsi" w:cs="Segoe UI"/>
          <w:sz w:val="18"/>
          <w:szCs w:val="18"/>
        </w:rPr>
        <w:t xml:space="preserve">, C. and Arts, B. (eds.).  Cambridge, MA: Cambridge University Press. chapter 4. 64-97. </w:t>
      </w:r>
      <w:hyperlink r:id="rId57" w:history="1">
        <w:r w:rsidR="00210EEC" w:rsidRPr="003D09EF">
          <w:rPr>
            <w:rStyle w:val="Hyperlink"/>
            <w:rFonts w:asciiTheme="minorHAnsi" w:hAnsiTheme="minorHAnsi" w:cs="Segoe UI"/>
            <w:sz w:val="18"/>
            <w:szCs w:val="18"/>
          </w:rPr>
          <w:t>https://www.cambridge.org/core/books/environmental-policy-convergence-in-europe/research-design-variables-and-data/F6DB3BADF226FC81481C102CD4CEA471</w:t>
        </w:r>
      </w:hyperlink>
      <w:r w:rsidR="00210EEC">
        <w:rPr>
          <w:rFonts w:asciiTheme="minorHAnsi" w:hAnsiTheme="minorHAnsi" w:cs="Segoe UI"/>
          <w:sz w:val="18"/>
          <w:szCs w:val="18"/>
        </w:rPr>
        <w:t xml:space="preserve"> </w:t>
      </w:r>
    </w:p>
    <w:p w14:paraId="4FF91766"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22037D85" w14:textId="5F6A8A03"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Hertin</w:t>
      </w:r>
      <w:proofErr w:type="spellEnd"/>
      <w:r w:rsidRPr="00210EEC">
        <w:rPr>
          <w:rFonts w:asciiTheme="minorHAnsi" w:hAnsiTheme="minorHAnsi" w:cs="Segoe UI"/>
          <w:sz w:val="18"/>
          <w:szCs w:val="18"/>
        </w:rPr>
        <w:t xml:space="preserve">, J., Jacob, K., </w:t>
      </w:r>
      <w:proofErr w:type="spellStart"/>
      <w:r w:rsidRPr="00210EEC">
        <w:rPr>
          <w:rFonts w:asciiTheme="minorHAnsi" w:hAnsiTheme="minorHAnsi" w:cs="Segoe UI"/>
          <w:sz w:val="18"/>
          <w:szCs w:val="18"/>
        </w:rPr>
        <w:t>Pesch</w:t>
      </w:r>
      <w:proofErr w:type="spellEnd"/>
      <w:r w:rsidRPr="00210EEC">
        <w:rPr>
          <w:rFonts w:asciiTheme="minorHAnsi" w:hAnsiTheme="minorHAnsi" w:cs="Segoe UI"/>
          <w:sz w:val="18"/>
          <w:szCs w:val="18"/>
        </w:rPr>
        <w:t xml:space="preserve">, U. and </w:t>
      </w:r>
      <w:proofErr w:type="spellStart"/>
      <w:r w:rsidRPr="00210EEC">
        <w:rPr>
          <w:rFonts w:asciiTheme="minorHAnsi" w:hAnsiTheme="minorHAnsi" w:cs="Segoe UI"/>
          <w:sz w:val="18"/>
          <w:szCs w:val="18"/>
        </w:rPr>
        <w:t>Pacchi</w:t>
      </w:r>
      <w:proofErr w:type="spellEnd"/>
      <w:r w:rsidRPr="00210EEC">
        <w:rPr>
          <w:rFonts w:asciiTheme="minorHAnsi" w:hAnsiTheme="minorHAnsi" w:cs="Segoe UI"/>
          <w:sz w:val="18"/>
          <w:szCs w:val="18"/>
        </w:rPr>
        <w:t xml:space="preserve">, C. (2009). The production and use of knowledge in regulatory impact assessment – An empirical analysis. </w:t>
      </w:r>
      <w:r w:rsidRPr="00210EEC">
        <w:rPr>
          <w:rFonts w:asciiTheme="minorHAnsi" w:hAnsiTheme="minorHAnsi" w:cs="Segoe UI"/>
          <w:i/>
          <w:iCs/>
          <w:sz w:val="18"/>
          <w:szCs w:val="18"/>
        </w:rPr>
        <w:t>Forest Policy and Economics</w:t>
      </w:r>
      <w:r w:rsidRPr="00210EEC">
        <w:rPr>
          <w:rFonts w:asciiTheme="minorHAnsi" w:hAnsiTheme="minorHAnsi" w:cs="Segoe UI"/>
          <w:sz w:val="18"/>
          <w:szCs w:val="18"/>
        </w:rPr>
        <w:t xml:space="preserve"> 11(5-6), 413-421. </w:t>
      </w:r>
      <w:hyperlink r:id="rId58" w:history="1">
        <w:r w:rsidR="00210EEC" w:rsidRPr="003D09EF">
          <w:rPr>
            <w:rStyle w:val="Hyperlink"/>
            <w:rFonts w:asciiTheme="minorHAnsi" w:hAnsiTheme="minorHAnsi" w:cs="Segoe UI"/>
            <w:sz w:val="18"/>
            <w:szCs w:val="18"/>
          </w:rPr>
          <w:t>https://doi.org/10.1016/j.forpol.2009.01.004</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AF32C82"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DFF6538" w14:textId="1010E316"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Hey, C., Jacob, K. and </w:t>
      </w:r>
      <w:proofErr w:type="spellStart"/>
      <w:r w:rsidRPr="00210EEC">
        <w:rPr>
          <w:rFonts w:asciiTheme="minorHAnsi" w:hAnsiTheme="minorHAnsi" w:cs="Segoe UI"/>
          <w:sz w:val="18"/>
          <w:szCs w:val="18"/>
        </w:rPr>
        <w:t>Volkery</w:t>
      </w:r>
      <w:proofErr w:type="spellEnd"/>
      <w:r w:rsidRPr="00210EEC">
        <w:rPr>
          <w:rFonts w:asciiTheme="minorHAnsi" w:hAnsiTheme="minorHAnsi" w:cs="Segoe UI"/>
          <w:sz w:val="18"/>
          <w:szCs w:val="18"/>
        </w:rPr>
        <w:t xml:space="preserve">, A. (2007). Better regulation by new governance hybrids? Governance models and the reform of European chemicals policy. </w:t>
      </w:r>
      <w:r w:rsidRPr="00210EEC">
        <w:rPr>
          <w:rFonts w:asciiTheme="minorHAnsi" w:hAnsiTheme="minorHAnsi" w:cs="Segoe UI"/>
          <w:i/>
          <w:iCs/>
          <w:sz w:val="18"/>
          <w:szCs w:val="18"/>
        </w:rPr>
        <w:t>Journal of Cleaner Production</w:t>
      </w:r>
      <w:r w:rsidRPr="00210EEC">
        <w:rPr>
          <w:rFonts w:asciiTheme="minorHAnsi" w:hAnsiTheme="minorHAnsi" w:cs="Segoe UI"/>
          <w:sz w:val="18"/>
          <w:szCs w:val="18"/>
        </w:rPr>
        <w:t xml:space="preserve"> 15(18), 1859-1874. </w:t>
      </w:r>
      <w:hyperlink r:id="rId59" w:history="1">
        <w:r w:rsidR="00210EEC" w:rsidRPr="003D09EF">
          <w:rPr>
            <w:rStyle w:val="Hyperlink"/>
            <w:rFonts w:asciiTheme="minorHAnsi" w:hAnsiTheme="minorHAnsi" w:cs="Segoe UI"/>
            <w:sz w:val="18"/>
            <w:szCs w:val="18"/>
          </w:rPr>
          <w:t>https://doi.org/10.1016/j.jclepro.2006.11.001</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9DB0810"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2D104CF" w14:textId="19286AF4"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Hildén</w:t>
      </w:r>
      <w:proofErr w:type="spellEnd"/>
      <w:r w:rsidRPr="00210EEC">
        <w:rPr>
          <w:rFonts w:asciiTheme="minorHAnsi" w:hAnsiTheme="minorHAnsi" w:cs="Segoe UI"/>
          <w:sz w:val="18"/>
          <w:szCs w:val="18"/>
        </w:rPr>
        <w:t xml:space="preserve">, M., Jordan, A. and Rayner, T. (2014). Climate policy innovation: Developing an evaluation perspective. </w:t>
      </w:r>
      <w:r w:rsidRPr="00210EEC">
        <w:rPr>
          <w:rFonts w:asciiTheme="minorHAnsi" w:hAnsiTheme="minorHAnsi" w:cs="Segoe UI"/>
          <w:i/>
          <w:iCs/>
          <w:sz w:val="18"/>
          <w:szCs w:val="18"/>
        </w:rPr>
        <w:t>Environmental Politics</w:t>
      </w:r>
      <w:r w:rsidRPr="00210EEC">
        <w:rPr>
          <w:rFonts w:asciiTheme="minorHAnsi" w:hAnsiTheme="minorHAnsi" w:cs="Segoe UI"/>
          <w:sz w:val="18"/>
          <w:szCs w:val="18"/>
        </w:rPr>
        <w:t xml:space="preserve"> 23(5), 884-905. </w:t>
      </w:r>
      <w:hyperlink r:id="rId60" w:history="1">
        <w:r w:rsidR="00210EEC" w:rsidRPr="003D09EF">
          <w:rPr>
            <w:rStyle w:val="Hyperlink"/>
            <w:rFonts w:asciiTheme="minorHAnsi" w:hAnsiTheme="minorHAnsi" w:cs="Segoe UI"/>
            <w:sz w:val="18"/>
            <w:szCs w:val="18"/>
          </w:rPr>
          <w:t>https://doi.org/10.1080/09644016.2014.924205</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7B25F7A"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105A2D6" w14:textId="313A5214"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Hollway</w:t>
      </w:r>
      <w:proofErr w:type="spellEnd"/>
      <w:r w:rsidRPr="00210EEC">
        <w:rPr>
          <w:rFonts w:asciiTheme="minorHAnsi" w:hAnsiTheme="minorHAnsi" w:cs="Segoe UI"/>
          <w:sz w:val="18"/>
          <w:szCs w:val="18"/>
        </w:rPr>
        <w:t xml:space="preserve">, J. and Koskinen, J. (2016). Multilevel bilateralism and multilateralism: States’ bilateral and multilateral fisheries treaties and their secretariats. In </w:t>
      </w:r>
      <w:r w:rsidRPr="00210EEC">
        <w:rPr>
          <w:rFonts w:asciiTheme="minorHAnsi" w:hAnsiTheme="minorHAnsi" w:cs="Segoe UI"/>
          <w:i/>
          <w:iCs/>
          <w:sz w:val="18"/>
          <w:szCs w:val="18"/>
        </w:rPr>
        <w:t>Multilevel Network Analysis for the Social Sciences.</w:t>
      </w:r>
      <w:r w:rsidRPr="00210EEC">
        <w:rPr>
          <w:rFonts w:asciiTheme="minorHAnsi" w:hAnsiTheme="minorHAnsi" w:cs="Segoe UI"/>
          <w:sz w:val="18"/>
          <w:szCs w:val="18"/>
        </w:rPr>
        <w:t xml:space="preserve"> </w:t>
      </w:r>
      <w:proofErr w:type="spellStart"/>
      <w:r w:rsidRPr="00210EEC">
        <w:rPr>
          <w:rFonts w:asciiTheme="minorHAnsi" w:hAnsiTheme="minorHAnsi" w:cs="Segoe UI"/>
          <w:sz w:val="18"/>
          <w:szCs w:val="18"/>
        </w:rPr>
        <w:t>Lazega</w:t>
      </w:r>
      <w:proofErr w:type="spellEnd"/>
      <w:r w:rsidRPr="00210EEC">
        <w:rPr>
          <w:rFonts w:asciiTheme="minorHAnsi" w:hAnsiTheme="minorHAnsi" w:cs="Segoe UI"/>
          <w:sz w:val="18"/>
          <w:szCs w:val="18"/>
        </w:rPr>
        <w:t xml:space="preserve">, E. and </w:t>
      </w:r>
      <w:proofErr w:type="spellStart"/>
      <w:r w:rsidRPr="00210EEC">
        <w:rPr>
          <w:rFonts w:asciiTheme="minorHAnsi" w:hAnsiTheme="minorHAnsi" w:cs="Segoe UI"/>
          <w:sz w:val="18"/>
          <w:szCs w:val="18"/>
        </w:rPr>
        <w:t>Snijders</w:t>
      </w:r>
      <w:proofErr w:type="spellEnd"/>
      <w:r w:rsidRPr="00210EEC">
        <w:rPr>
          <w:rFonts w:asciiTheme="minorHAnsi" w:hAnsiTheme="minorHAnsi" w:cs="Segoe UI"/>
          <w:sz w:val="18"/>
          <w:szCs w:val="18"/>
        </w:rPr>
        <w:t xml:space="preserve">, T.A.B. (eds.).  Cham: Springer. 315-332. </w:t>
      </w:r>
      <w:hyperlink r:id="rId61" w:history="1">
        <w:r w:rsidR="00210EEC" w:rsidRPr="003D09EF">
          <w:rPr>
            <w:rStyle w:val="Hyperlink"/>
            <w:rFonts w:asciiTheme="minorHAnsi" w:hAnsiTheme="minorHAnsi" w:cs="Segoe UI"/>
            <w:sz w:val="18"/>
            <w:szCs w:val="18"/>
          </w:rPr>
          <w:t>https://link.springer.com/chapter/10.1007/978-3-319-24520-1_13</w:t>
        </w:r>
      </w:hyperlink>
      <w:r w:rsidR="00210EEC">
        <w:rPr>
          <w:rFonts w:asciiTheme="minorHAnsi" w:hAnsiTheme="minorHAnsi" w:cs="Segoe UI"/>
          <w:sz w:val="18"/>
          <w:szCs w:val="18"/>
        </w:rPr>
        <w:t xml:space="preserve"> </w:t>
      </w:r>
    </w:p>
    <w:p w14:paraId="6044CB93"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A42AC74" w14:textId="617667ED"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Holzinger</w:t>
      </w:r>
      <w:proofErr w:type="spellEnd"/>
      <w:r w:rsidRPr="00210EEC">
        <w:rPr>
          <w:rFonts w:asciiTheme="minorHAnsi" w:hAnsiTheme="minorHAnsi" w:cs="Segoe UI"/>
          <w:sz w:val="18"/>
          <w:szCs w:val="18"/>
        </w:rPr>
        <w:t xml:space="preserve">, K., </w:t>
      </w:r>
      <w:proofErr w:type="spellStart"/>
      <w:r w:rsidRPr="00210EEC">
        <w:rPr>
          <w:rFonts w:asciiTheme="minorHAnsi" w:hAnsiTheme="minorHAnsi" w:cs="Segoe UI"/>
          <w:sz w:val="18"/>
          <w:szCs w:val="18"/>
        </w:rPr>
        <w:t>Knill</w:t>
      </w:r>
      <w:proofErr w:type="spellEnd"/>
      <w:r w:rsidRPr="00210EEC">
        <w:rPr>
          <w:rFonts w:asciiTheme="minorHAnsi" w:hAnsiTheme="minorHAnsi" w:cs="Segoe UI"/>
          <w:sz w:val="18"/>
          <w:szCs w:val="18"/>
        </w:rPr>
        <w:t xml:space="preserve">, C. and Sommerer, T. (2011). Is there convergence of national environmental policies? An analysis of policy outputs in 24 OECD countries. </w:t>
      </w:r>
      <w:r w:rsidRPr="00210EEC">
        <w:rPr>
          <w:rFonts w:asciiTheme="minorHAnsi" w:hAnsiTheme="minorHAnsi" w:cs="Segoe UI"/>
          <w:i/>
          <w:iCs/>
          <w:sz w:val="18"/>
          <w:szCs w:val="18"/>
        </w:rPr>
        <w:t>Environmental Politics</w:t>
      </w:r>
      <w:r w:rsidRPr="00210EEC">
        <w:rPr>
          <w:rFonts w:asciiTheme="minorHAnsi" w:hAnsiTheme="minorHAnsi" w:cs="Segoe UI"/>
          <w:sz w:val="18"/>
          <w:szCs w:val="18"/>
        </w:rPr>
        <w:t xml:space="preserve"> 20(1), 20-41. </w:t>
      </w:r>
      <w:hyperlink r:id="rId62" w:history="1">
        <w:r w:rsidR="00210EEC" w:rsidRPr="003D09EF">
          <w:rPr>
            <w:rStyle w:val="Hyperlink"/>
            <w:rFonts w:asciiTheme="minorHAnsi" w:hAnsiTheme="minorHAnsi" w:cs="Segoe UI"/>
            <w:sz w:val="18"/>
            <w:szCs w:val="18"/>
          </w:rPr>
          <w:t>https://doi.org/10.1080/09644016.2011.538163</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ADEC71D"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F898FBB" w14:textId="5A9930A0"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Hood, C. (2011). </w:t>
      </w:r>
      <w:r w:rsidRPr="00210EEC">
        <w:rPr>
          <w:rFonts w:asciiTheme="minorHAnsi" w:hAnsiTheme="minorHAnsi" w:cs="Segoe UI"/>
          <w:i/>
          <w:iCs/>
          <w:sz w:val="18"/>
          <w:szCs w:val="18"/>
        </w:rPr>
        <w:t>Summing Up the Parts: Combining Policy Instruments for Least-Cost Climate Mitigation Strategies.</w:t>
      </w:r>
      <w:r w:rsidRPr="00210EEC">
        <w:rPr>
          <w:rFonts w:asciiTheme="minorHAnsi" w:hAnsiTheme="minorHAnsi" w:cs="Segoe UI"/>
          <w:sz w:val="18"/>
          <w:szCs w:val="18"/>
        </w:rPr>
        <w:t xml:space="preserve"> International Energy Agency Information Paper. Paris: International Energy Agency. </w:t>
      </w:r>
      <w:hyperlink r:id="rId63" w:history="1">
        <w:r w:rsidR="00210EEC" w:rsidRPr="003D09EF">
          <w:rPr>
            <w:rStyle w:val="Hyperlink"/>
            <w:rFonts w:asciiTheme="minorHAnsi" w:hAnsiTheme="minorHAnsi" w:cs="Segoe UI"/>
            <w:sz w:val="18"/>
            <w:szCs w:val="18"/>
          </w:rPr>
          <w:t>www.iea.org/publications/freepublications/publication/Summing_Up.pdf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B5BDDD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E5B3476" w14:textId="5147D2A5"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lastRenderedPageBreak/>
        <w:t>Hovi</w:t>
      </w:r>
      <w:proofErr w:type="spellEnd"/>
      <w:r w:rsidRPr="00210EEC">
        <w:rPr>
          <w:rFonts w:asciiTheme="minorHAnsi" w:hAnsiTheme="minorHAnsi" w:cs="Segoe UI"/>
          <w:sz w:val="18"/>
          <w:szCs w:val="18"/>
        </w:rPr>
        <w:t xml:space="preserve">, J., </w:t>
      </w:r>
      <w:proofErr w:type="spellStart"/>
      <w:r w:rsidRPr="00210EEC">
        <w:rPr>
          <w:rFonts w:asciiTheme="minorHAnsi" w:hAnsiTheme="minorHAnsi" w:cs="Segoe UI"/>
          <w:sz w:val="18"/>
          <w:szCs w:val="18"/>
        </w:rPr>
        <w:t>Sprinz</w:t>
      </w:r>
      <w:proofErr w:type="spellEnd"/>
      <w:r w:rsidRPr="00210EEC">
        <w:rPr>
          <w:rFonts w:asciiTheme="minorHAnsi" w:hAnsiTheme="minorHAnsi" w:cs="Segoe UI"/>
          <w:sz w:val="18"/>
          <w:szCs w:val="18"/>
        </w:rPr>
        <w:t xml:space="preserve">, D.F. and </w:t>
      </w:r>
      <w:proofErr w:type="spellStart"/>
      <w:r w:rsidRPr="00210EEC">
        <w:rPr>
          <w:rFonts w:asciiTheme="minorHAnsi" w:hAnsiTheme="minorHAnsi" w:cs="Segoe UI"/>
          <w:sz w:val="18"/>
          <w:szCs w:val="18"/>
        </w:rPr>
        <w:t>Underdal</w:t>
      </w:r>
      <w:proofErr w:type="spellEnd"/>
      <w:r w:rsidRPr="00210EEC">
        <w:rPr>
          <w:rFonts w:asciiTheme="minorHAnsi" w:hAnsiTheme="minorHAnsi" w:cs="Segoe UI"/>
          <w:sz w:val="18"/>
          <w:szCs w:val="18"/>
        </w:rPr>
        <w:t xml:space="preserve">, A. (2003). The Oslo-Potsdam solution to measuring regime effectiveness: Critique, response, and the road ahead. </w:t>
      </w:r>
      <w:r w:rsidRPr="00210EEC">
        <w:rPr>
          <w:rFonts w:asciiTheme="minorHAnsi" w:hAnsiTheme="minorHAnsi" w:cs="Segoe UI"/>
          <w:i/>
          <w:iCs/>
          <w:sz w:val="18"/>
          <w:szCs w:val="18"/>
        </w:rPr>
        <w:t>Global Environmental Politics</w:t>
      </w:r>
      <w:r w:rsidRPr="00210EEC">
        <w:rPr>
          <w:rFonts w:asciiTheme="minorHAnsi" w:hAnsiTheme="minorHAnsi" w:cs="Segoe UI"/>
          <w:sz w:val="18"/>
          <w:szCs w:val="18"/>
        </w:rPr>
        <w:t xml:space="preserve"> 3(3), 74-96. </w:t>
      </w:r>
      <w:hyperlink r:id="rId64" w:history="1">
        <w:r w:rsidR="00210EEC" w:rsidRPr="003D09EF">
          <w:rPr>
            <w:rStyle w:val="Hyperlink"/>
            <w:rFonts w:asciiTheme="minorHAnsi" w:hAnsiTheme="minorHAnsi" w:cs="Segoe UI"/>
            <w:sz w:val="18"/>
            <w:szCs w:val="18"/>
          </w:rPr>
          <w:t>https://doi.org/10.1162/152638003322469286</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BF8704D"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4F92739" w14:textId="049EA55F"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Howlett, M. (2014). Why are policy innovations rare and so often negative? Blame avoidance and problem denial in climate change policy-making. </w:t>
      </w:r>
      <w:r w:rsidRPr="00210EEC">
        <w:rPr>
          <w:rFonts w:asciiTheme="minorHAnsi" w:hAnsiTheme="minorHAnsi" w:cs="Segoe UI"/>
          <w:i/>
          <w:iCs/>
          <w:sz w:val="18"/>
          <w:szCs w:val="18"/>
        </w:rPr>
        <w:t>Global Environmental Change</w:t>
      </w:r>
      <w:r w:rsidRPr="00210EEC">
        <w:rPr>
          <w:rFonts w:asciiTheme="minorHAnsi" w:hAnsiTheme="minorHAnsi" w:cs="Segoe UI"/>
          <w:sz w:val="18"/>
          <w:szCs w:val="18"/>
        </w:rPr>
        <w:t xml:space="preserve"> 29, 395-403. </w:t>
      </w:r>
      <w:hyperlink r:id="rId65" w:history="1">
        <w:r w:rsidR="00210EEC" w:rsidRPr="003D09EF">
          <w:rPr>
            <w:rStyle w:val="Hyperlink"/>
            <w:rFonts w:asciiTheme="minorHAnsi" w:hAnsiTheme="minorHAnsi" w:cs="Segoe UI"/>
            <w:sz w:val="18"/>
            <w:szCs w:val="18"/>
          </w:rPr>
          <w:t>https://doi.org/10.1016/j.gloenvcha.2013.12.009</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56262BD"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A72CCDF" w14:textId="0BE0DFB6"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Howlett, M. and </w:t>
      </w:r>
      <w:proofErr w:type="spellStart"/>
      <w:r w:rsidRPr="00210EEC">
        <w:rPr>
          <w:rFonts w:asciiTheme="minorHAnsi" w:hAnsiTheme="minorHAnsi" w:cs="Segoe UI"/>
          <w:sz w:val="18"/>
          <w:szCs w:val="18"/>
        </w:rPr>
        <w:t>Cashore</w:t>
      </w:r>
      <w:proofErr w:type="spellEnd"/>
      <w:r w:rsidRPr="00210EEC">
        <w:rPr>
          <w:rFonts w:asciiTheme="minorHAnsi" w:hAnsiTheme="minorHAnsi" w:cs="Segoe UI"/>
          <w:sz w:val="18"/>
          <w:szCs w:val="18"/>
        </w:rPr>
        <w:t xml:space="preserve">, B. (2009). The dependent variable problem in the study of policy change: Understanding policy change as a methodological problem. </w:t>
      </w:r>
      <w:r w:rsidRPr="00210EEC">
        <w:rPr>
          <w:rFonts w:asciiTheme="minorHAnsi" w:hAnsiTheme="minorHAnsi" w:cs="Segoe UI"/>
          <w:i/>
          <w:iCs/>
          <w:sz w:val="18"/>
          <w:szCs w:val="18"/>
        </w:rPr>
        <w:t>Journal of Comparative Policy Analysis: Research and Practice</w:t>
      </w:r>
      <w:r w:rsidRPr="00210EEC">
        <w:rPr>
          <w:rFonts w:asciiTheme="minorHAnsi" w:hAnsiTheme="minorHAnsi" w:cs="Segoe UI"/>
          <w:sz w:val="18"/>
          <w:szCs w:val="18"/>
        </w:rPr>
        <w:t xml:space="preserve"> 11(1), 33-46. </w:t>
      </w:r>
      <w:hyperlink r:id="rId66" w:history="1">
        <w:r w:rsidR="00210EEC" w:rsidRPr="003D09EF">
          <w:rPr>
            <w:rStyle w:val="Hyperlink"/>
            <w:rFonts w:asciiTheme="minorHAnsi" w:hAnsiTheme="minorHAnsi" w:cs="Segoe UI"/>
            <w:sz w:val="18"/>
            <w:szCs w:val="18"/>
          </w:rPr>
          <w:t>https://doi.org/10.1080/13876980802648144</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12A432E"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D601015" w14:textId="29096B5E"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Howlett, M. and del Rio, P. (2015). The parameters of policy portfolios: Verticality and horizontality in design spaces and their consequences for policy mix formulation. </w:t>
      </w:r>
      <w:r w:rsidRPr="00210EEC">
        <w:rPr>
          <w:rFonts w:asciiTheme="minorHAnsi" w:hAnsiTheme="minorHAnsi" w:cs="Segoe UI"/>
          <w:i/>
          <w:iCs/>
          <w:sz w:val="18"/>
          <w:szCs w:val="18"/>
        </w:rPr>
        <w:t>Environment and Planning C: Government and Policy</w:t>
      </w:r>
      <w:r w:rsidRPr="00210EEC">
        <w:rPr>
          <w:rFonts w:asciiTheme="minorHAnsi" w:hAnsiTheme="minorHAnsi" w:cs="Segoe UI"/>
          <w:sz w:val="18"/>
          <w:szCs w:val="18"/>
        </w:rPr>
        <w:t xml:space="preserve"> 33(5), 1233-1245. </w:t>
      </w:r>
      <w:hyperlink r:id="rId67" w:history="1">
        <w:r w:rsidR="00210EEC" w:rsidRPr="003D09EF">
          <w:rPr>
            <w:rStyle w:val="Hyperlink"/>
            <w:rFonts w:asciiTheme="minorHAnsi" w:hAnsiTheme="minorHAnsi" w:cs="Segoe UI"/>
            <w:sz w:val="18"/>
            <w:szCs w:val="18"/>
          </w:rPr>
          <w:t>https://doi.org/10.1177/0263774x15610059</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955BD56"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294D5F90" w14:textId="69564CA1"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Howlett, M. and </w:t>
      </w:r>
      <w:proofErr w:type="spellStart"/>
      <w:r w:rsidRPr="00210EEC">
        <w:rPr>
          <w:rFonts w:asciiTheme="minorHAnsi" w:hAnsiTheme="minorHAnsi" w:cs="Segoe UI"/>
          <w:sz w:val="18"/>
          <w:szCs w:val="18"/>
        </w:rPr>
        <w:t>Lejano</w:t>
      </w:r>
      <w:proofErr w:type="spellEnd"/>
      <w:r w:rsidRPr="00210EEC">
        <w:rPr>
          <w:rFonts w:asciiTheme="minorHAnsi" w:hAnsiTheme="minorHAnsi" w:cs="Segoe UI"/>
          <w:sz w:val="18"/>
          <w:szCs w:val="18"/>
        </w:rPr>
        <w:t xml:space="preserve">, R.P. (2013). Tales from the crypt: The rise and fall (and rebirth?) of policy design. </w:t>
      </w:r>
      <w:r w:rsidRPr="00210EEC">
        <w:rPr>
          <w:rFonts w:asciiTheme="minorHAnsi" w:hAnsiTheme="minorHAnsi" w:cs="Segoe UI"/>
          <w:i/>
          <w:iCs/>
          <w:sz w:val="18"/>
          <w:szCs w:val="18"/>
        </w:rPr>
        <w:t>Administration &amp; Society</w:t>
      </w:r>
      <w:r w:rsidRPr="00210EEC">
        <w:rPr>
          <w:rFonts w:asciiTheme="minorHAnsi" w:hAnsiTheme="minorHAnsi" w:cs="Segoe UI"/>
          <w:sz w:val="18"/>
          <w:szCs w:val="18"/>
        </w:rPr>
        <w:t xml:space="preserve"> 45(3), 357-381. </w:t>
      </w:r>
      <w:hyperlink r:id="rId68" w:history="1">
        <w:r w:rsidR="00210EEC" w:rsidRPr="003D09EF">
          <w:rPr>
            <w:rStyle w:val="Hyperlink"/>
            <w:rFonts w:asciiTheme="minorHAnsi" w:hAnsiTheme="minorHAnsi" w:cs="Segoe UI"/>
            <w:sz w:val="18"/>
            <w:szCs w:val="18"/>
          </w:rPr>
          <w:t>https://doi.org/10.1177/0095399712459725</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857F08E" w14:textId="6AF37976"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0B437E1" w14:textId="71281CD8"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Howlett, M. and Rayner, J. (2013). Patching vs packaging in policy formulation: Assessing policy portfolio design. </w:t>
      </w:r>
      <w:r w:rsidRPr="00210EEC">
        <w:rPr>
          <w:rFonts w:asciiTheme="minorHAnsi" w:hAnsiTheme="minorHAnsi" w:cs="Segoe UI"/>
          <w:i/>
          <w:iCs/>
          <w:sz w:val="18"/>
          <w:szCs w:val="18"/>
        </w:rPr>
        <w:t>Politics and Governance</w:t>
      </w:r>
      <w:r w:rsidRPr="00210EEC">
        <w:rPr>
          <w:rFonts w:asciiTheme="minorHAnsi" w:hAnsiTheme="minorHAnsi" w:cs="Segoe UI"/>
          <w:sz w:val="18"/>
          <w:szCs w:val="18"/>
        </w:rPr>
        <w:t xml:space="preserve"> 1(2), 170. </w:t>
      </w:r>
      <w:hyperlink r:id="rId69" w:history="1">
        <w:r w:rsidR="00210EEC" w:rsidRPr="003D09EF">
          <w:rPr>
            <w:rStyle w:val="Hyperlink"/>
            <w:rFonts w:asciiTheme="minorHAnsi" w:hAnsiTheme="minorHAnsi" w:cs="Segoe UI"/>
            <w:sz w:val="18"/>
            <w:szCs w:val="18"/>
          </w:rPr>
          <w:t>https://doi.org/10.17645/pag.v1i2.95</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CD0605F"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10DE7BF" w14:textId="11CD1143"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Interwies</w:t>
      </w:r>
      <w:proofErr w:type="spellEnd"/>
      <w:r w:rsidRPr="00210EEC">
        <w:rPr>
          <w:rFonts w:asciiTheme="minorHAnsi" w:hAnsiTheme="minorHAnsi" w:cs="Segoe UI"/>
          <w:sz w:val="18"/>
          <w:szCs w:val="18"/>
        </w:rPr>
        <w:t xml:space="preserve">, E., </w:t>
      </w:r>
      <w:proofErr w:type="spellStart"/>
      <w:r w:rsidRPr="00210EEC">
        <w:rPr>
          <w:rFonts w:asciiTheme="minorHAnsi" w:hAnsiTheme="minorHAnsi" w:cs="Segoe UI"/>
          <w:sz w:val="18"/>
          <w:szCs w:val="18"/>
        </w:rPr>
        <w:t>Görlach</w:t>
      </w:r>
      <w:proofErr w:type="spellEnd"/>
      <w:r w:rsidRPr="00210EEC">
        <w:rPr>
          <w:rFonts w:asciiTheme="minorHAnsi" w:hAnsiTheme="minorHAnsi" w:cs="Segoe UI"/>
          <w:sz w:val="18"/>
          <w:szCs w:val="18"/>
        </w:rPr>
        <w:t xml:space="preserve">, B. and Newcombe, J. (2007). Evaluating the cost-effectiveness of environmental policies: Theoretical aspirations and lessons from European practice for global governance. </w:t>
      </w:r>
      <w:r w:rsidRPr="00210EEC">
        <w:rPr>
          <w:rFonts w:asciiTheme="minorHAnsi" w:hAnsiTheme="minorHAnsi" w:cs="Segoe UI"/>
          <w:i/>
          <w:iCs/>
          <w:sz w:val="18"/>
          <w:szCs w:val="18"/>
        </w:rPr>
        <w:t>Amsterdam Conference on the Human Dimensions of Global Environmental Change</w:t>
      </w:r>
      <w:r w:rsidRPr="00210EEC">
        <w:rPr>
          <w:rFonts w:asciiTheme="minorHAnsi" w:hAnsiTheme="minorHAnsi" w:cs="Segoe UI"/>
          <w:sz w:val="18"/>
          <w:szCs w:val="18"/>
        </w:rPr>
        <w:t xml:space="preserve">. Amsterdam, 24-26 May 2007.  </w:t>
      </w:r>
      <w:hyperlink r:id="rId70" w:history="1">
        <w:r w:rsidR="00210EEC" w:rsidRPr="003D09EF">
          <w:rPr>
            <w:rStyle w:val="Hyperlink"/>
            <w:rFonts w:asciiTheme="minorHAnsi" w:hAnsiTheme="minorHAnsi" w:cs="Segoe UI"/>
            <w:sz w:val="18"/>
            <w:szCs w:val="18"/>
          </w:rPr>
          <w:t>http://citeseerx.ist.psu.edu/viewdoc/download?doi=10.1.1.664.6369&amp;rep=rep1&amp;type=pdf</w:t>
        </w:r>
      </w:hyperlink>
      <w:r w:rsidR="00210EEC">
        <w:rPr>
          <w:rFonts w:asciiTheme="minorHAnsi" w:hAnsiTheme="minorHAnsi" w:cs="Segoe UI"/>
          <w:sz w:val="18"/>
          <w:szCs w:val="18"/>
        </w:rPr>
        <w:t xml:space="preserve"> </w:t>
      </w:r>
    </w:p>
    <w:p w14:paraId="0D803117"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9E7FF03" w14:textId="61E2CF90"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Jabbour</w:t>
      </w:r>
      <w:proofErr w:type="spellEnd"/>
      <w:r w:rsidRPr="00210EEC">
        <w:rPr>
          <w:rFonts w:asciiTheme="minorHAnsi" w:hAnsiTheme="minorHAnsi" w:cs="Segoe UI"/>
          <w:sz w:val="18"/>
          <w:szCs w:val="18"/>
        </w:rPr>
        <w:t>, J., Keita-</w:t>
      </w:r>
      <w:proofErr w:type="spellStart"/>
      <w:r w:rsidRPr="00210EEC">
        <w:rPr>
          <w:rFonts w:asciiTheme="minorHAnsi" w:hAnsiTheme="minorHAnsi" w:cs="Segoe UI"/>
          <w:sz w:val="18"/>
          <w:szCs w:val="18"/>
        </w:rPr>
        <w:t>Ouane</w:t>
      </w:r>
      <w:proofErr w:type="spellEnd"/>
      <w:r w:rsidRPr="00210EEC">
        <w:rPr>
          <w:rFonts w:asciiTheme="minorHAnsi" w:hAnsiTheme="minorHAnsi" w:cs="Segoe UI"/>
          <w:sz w:val="18"/>
          <w:szCs w:val="18"/>
        </w:rPr>
        <w:t xml:space="preserve">, F., Hunsberger, C., Sánchez-Rodríguez, R., </w:t>
      </w:r>
      <w:proofErr w:type="spellStart"/>
      <w:r w:rsidRPr="00210EEC">
        <w:rPr>
          <w:rFonts w:asciiTheme="minorHAnsi" w:hAnsiTheme="minorHAnsi" w:cs="Segoe UI"/>
          <w:sz w:val="18"/>
          <w:szCs w:val="18"/>
        </w:rPr>
        <w:t>Gilruth</w:t>
      </w:r>
      <w:proofErr w:type="spellEnd"/>
      <w:r w:rsidRPr="00210EEC">
        <w:rPr>
          <w:rFonts w:asciiTheme="minorHAnsi" w:hAnsiTheme="minorHAnsi" w:cs="Segoe UI"/>
          <w:sz w:val="18"/>
          <w:szCs w:val="18"/>
        </w:rPr>
        <w:t>, P., Patel, N.</w:t>
      </w:r>
      <w:r w:rsidRPr="00210EEC">
        <w:rPr>
          <w:rFonts w:asciiTheme="minorHAnsi" w:hAnsiTheme="minorHAnsi" w:cs="Segoe UI"/>
          <w:i/>
          <w:iCs/>
          <w:sz w:val="18"/>
          <w:szCs w:val="18"/>
        </w:rPr>
        <w:t xml:space="preserve"> et al.</w:t>
      </w:r>
      <w:r w:rsidRPr="00210EEC">
        <w:rPr>
          <w:rFonts w:asciiTheme="minorHAnsi" w:hAnsiTheme="minorHAnsi" w:cs="Segoe UI"/>
          <w:sz w:val="18"/>
          <w:szCs w:val="18"/>
        </w:rPr>
        <w:t xml:space="preserve"> (2012). Internationally agreed environmental goals: A critical evaluation of progress. </w:t>
      </w:r>
      <w:r w:rsidRPr="00210EEC">
        <w:rPr>
          <w:rFonts w:asciiTheme="minorHAnsi" w:hAnsiTheme="minorHAnsi" w:cs="Segoe UI"/>
          <w:i/>
          <w:iCs/>
          <w:sz w:val="18"/>
          <w:szCs w:val="18"/>
        </w:rPr>
        <w:t>Environmental Development</w:t>
      </w:r>
      <w:r w:rsidRPr="00210EEC">
        <w:rPr>
          <w:rFonts w:asciiTheme="minorHAnsi" w:hAnsiTheme="minorHAnsi" w:cs="Segoe UI"/>
          <w:sz w:val="18"/>
          <w:szCs w:val="18"/>
        </w:rPr>
        <w:t xml:space="preserve"> 3, 5-24. </w:t>
      </w:r>
      <w:hyperlink r:id="rId71" w:history="1">
        <w:r w:rsidR="00210EEC" w:rsidRPr="003D09EF">
          <w:rPr>
            <w:rStyle w:val="Hyperlink"/>
            <w:rFonts w:asciiTheme="minorHAnsi" w:hAnsiTheme="minorHAnsi" w:cs="Segoe UI"/>
            <w:sz w:val="18"/>
            <w:szCs w:val="18"/>
          </w:rPr>
          <w:t>https://doi.org/10.1016/j.envdev.2012.05.002</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42ECD8A"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28FEA7F" w14:textId="37FE0B4F"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Jacob, K., </w:t>
      </w:r>
      <w:proofErr w:type="spellStart"/>
      <w:r w:rsidRPr="00210EEC">
        <w:rPr>
          <w:rFonts w:asciiTheme="minorHAnsi" w:hAnsiTheme="minorHAnsi" w:cs="Segoe UI"/>
          <w:sz w:val="18"/>
          <w:szCs w:val="18"/>
        </w:rPr>
        <w:t>Quitzow</w:t>
      </w:r>
      <w:proofErr w:type="spellEnd"/>
      <w:r w:rsidRPr="00210EEC">
        <w:rPr>
          <w:rFonts w:asciiTheme="minorHAnsi" w:hAnsiTheme="minorHAnsi" w:cs="Segoe UI"/>
          <w:sz w:val="18"/>
          <w:szCs w:val="18"/>
        </w:rPr>
        <w:t xml:space="preserve">, R. and </w:t>
      </w:r>
      <w:proofErr w:type="spellStart"/>
      <w:r w:rsidRPr="00210EEC">
        <w:rPr>
          <w:rFonts w:asciiTheme="minorHAnsi" w:hAnsiTheme="minorHAnsi" w:cs="Segoe UI"/>
          <w:sz w:val="18"/>
          <w:szCs w:val="18"/>
        </w:rPr>
        <w:t>Bär</w:t>
      </w:r>
      <w:proofErr w:type="spellEnd"/>
      <w:r w:rsidRPr="00210EEC">
        <w:rPr>
          <w:rFonts w:asciiTheme="minorHAnsi" w:hAnsiTheme="minorHAnsi" w:cs="Segoe UI"/>
          <w:sz w:val="18"/>
          <w:szCs w:val="18"/>
        </w:rPr>
        <w:t xml:space="preserve">, H. (2015). </w:t>
      </w:r>
      <w:r w:rsidRPr="00210EEC">
        <w:rPr>
          <w:rFonts w:asciiTheme="minorHAnsi" w:hAnsiTheme="minorHAnsi" w:cs="Segoe UI"/>
          <w:i/>
          <w:iCs/>
          <w:sz w:val="18"/>
          <w:szCs w:val="18"/>
        </w:rPr>
        <w:t>Green Jobs: Impacts of a Green Economy on Employment.</w:t>
      </w:r>
      <w:r w:rsidRPr="00210EEC">
        <w:rPr>
          <w:rFonts w:asciiTheme="minorHAnsi" w:hAnsiTheme="minorHAnsi" w:cs="Segoe UI"/>
          <w:sz w:val="18"/>
          <w:szCs w:val="18"/>
        </w:rPr>
        <w:t xml:space="preserve"> Berlin: Deutsche Gesellschaft </w:t>
      </w:r>
      <w:proofErr w:type="spellStart"/>
      <w:r w:rsidRPr="00210EEC">
        <w:rPr>
          <w:rFonts w:asciiTheme="minorHAnsi" w:hAnsiTheme="minorHAnsi" w:cs="Segoe UI"/>
          <w:sz w:val="18"/>
          <w:szCs w:val="18"/>
        </w:rPr>
        <w:t>für</w:t>
      </w:r>
      <w:proofErr w:type="spellEnd"/>
      <w:r w:rsidRPr="00210EEC">
        <w:rPr>
          <w:rFonts w:asciiTheme="minorHAnsi" w:hAnsiTheme="minorHAnsi" w:cs="Segoe UI"/>
          <w:sz w:val="18"/>
          <w:szCs w:val="18"/>
        </w:rPr>
        <w:t xml:space="preserve"> Internationale </w:t>
      </w:r>
      <w:proofErr w:type="spellStart"/>
      <w:r w:rsidRPr="00210EEC">
        <w:rPr>
          <w:rFonts w:asciiTheme="minorHAnsi" w:hAnsiTheme="minorHAnsi" w:cs="Segoe UI"/>
          <w:sz w:val="18"/>
          <w:szCs w:val="18"/>
        </w:rPr>
        <w:t>Zusammenarbeit</w:t>
      </w:r>
      <w:proofErr w:type="spellEnd"/>
      <w:r w:rsidRPr="00210EEC">
        <w:rPr>
          <w:rFonts w:asciiTheme="minorHAnsi" w:hAnsiTheme="minorHAnsi" w:cs="Segoe UI"/>
          <w:sz w:val="18"/>
          <w:szCs w:val="18"/>
        </w:rPr>
        <w:t xml:space="preserve">. </w:t>
      </w:r>
      <w:hyperlink r:id="rId72" w:history="1">
        <w:r w:rsidR="00210EEC" w:rsidRPr="003D09EF">
          <w:rPr>
            <w:rStyle w:val="Hyperlink"/>
            <w:rFonts w:asciiTheme="minorHAnsi" w:hAnsiTheme="minorHAnsi" w:cs="Segoe UI"/>
            <w:sz w:val="18"/>
            <w:szCs w:val="18"/>
          </w:rPr>
          <w:t>http://www.greengrowthknowledge.org/sites/default/files/downloads/resource/Jacob,%20Quitzow,%20B%C3%A4r%202014%20Green%20Jobs_ENGLISH.pdf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623C8ED"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5E00E2E" w14:textId="6BAD4335"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Jacob, K., </w:t>
      </w:r>
      <w:proofErr w:type="spellStart"/>
      <w:r w:rsidRPr="00210EEC">
        <w:rPr>
          <w:rFonts w:asciiTheme="minorHAnsi" w:hAnsiTheme="minorHAnsi" w:cs="Segoe UI"/>
          <w:sz w:val="18"/>
          <w:szCs w:val="18"/>
        </w:rPr>
        <w:t>Volkery</w:t>
      </w:r>
      <w:proofErr w:type="spellEnd"/>
      <w:r w:rsidRPr="00210EEC">
        <w:rPr>
          <w:rFonts w:asciiTheme="minorHAnsi" w:hAnsiTheme="minorHAnsi" w:cs="Segoe UI"/>
          <w:sz w:val="18"/>
          <w:szCs w:val="18"/>
        </w:rPr>
        <w:t xml:space="preserve">, A. and </w:t>
      </w:r>
      <w:proofErr w:type="spellStart"/>
      <w:r w:rsidRPr="00210EEC">
        <w:rPr>
          <w:rFonts w:asciiTheme="minorHAnsi" w:hAnsiTheme="minorHAnsi" w:cs="Segoe UI"/>
          <w:sz w:val="18"/>
          <w:szCs w:val="18"/>
        </w:rPr>
        <w:t>Lenschow</w:t>
      </w:r>
      <w:proofErr w:type="spellEnd"/>
      <w:r w:rsidRPr="00210EEC">
        <w:rPr>
          <w:rFonts w:asciiTheme="minorHAnsi" w:hAnsiTheme="minorHAnsi" w:cs="Segoe UI"/>
          <w:sz w:val="18"/>
          <w:szCs w:val="18"/>
        </w:rPr>
        <w:t xml:space="preserve">, A. (2008). Instruments for environmental policy integration in 30 OECD countries. In </w:t>
      </w:r>
      <w:r w:rsidRPr="00210EEC">
        <w:rPr>
          <w:rFonts w:asciiTheme="minorHAnsi" w:hAnsiTheme="minorHAnsi" w:cs="Segoe UI"/>
          <w:i/>
          <w:iCs/>
          <w:sz w:val="18"/>
          <w:szCs w:val="18"/>
        </w:rPr>
        <w:t>Innovation in Environmental Policy? Integrating the Environment for Sustainability.</w:t>
      </w:r>
      <w:r w:rsidRPr="00210EEC">
        <w:rPr>
          <w:rFonts w:asciiTheme="minorHAnsi" w:hAnsiTheme="minorHAnsi" w:cs="Segoe UI"/>
          <w:sz w:val="18"/>
          <w:szCs w:val="18"/>
        </w:rPr>
        <w:t xml:space="preserve"> A. Jordan and A. </w:t>
      </w:r>
      <w:proofErr w:type="spellStart"/>
      <w:r w:rsidRPr="00210EEC">
        <w:rPr>
          <w:rFonts w:asciiTheme="minorHAnsi" w:hAnsiTheme="minorHAnsi" w:cs="Segoe UI"/>
          <w:sz w:val="18"/>
          <w:szCs w:val="18"/>
        </w:rPr>
        <w:t>Lenschow</w:t>
      </w:r>
      <w:proofErr w:type="spellEnd"/>
      <w:r w:rsidRPr="00210EEC">
        <w:rPr>
          <w:rFonts w:asciiTheme="minorHAnsi" w:hAnsiTheme="minorHAnsi" w:cs="Segoe UI"/>
          <w:sz w:val="18"/>
          <w:szCs w:val="18"/>
        </w:rPr>
        <w:t xml:space="preserve"> (eds.).  Cheltenham: Edward Elgar Publishing. chapter 2. 24–46. </w:t>
      </w:r>
      <w:hyperlink r:id="rId73" w:history="1">
        <w:r w:rsidR="00210EEC" w:rsidRPr="003D09EF">
          <w:rPr>
            <w:rStyle w:val="Hyperlink"/>
            <w:rFonts w:asciiTheme="minorHAnsi" w:hAnsiTheme="minorHAnsi" w:cs="Segoe UI"/>
            <w:sz w:val="18"/>
            <w:szCs w:val="18"/>
          </w:rPr>
          <w:t>https://www.elgaronline.com/view/9781847204905.00013.xml</w:t>
        </w:r>
      </w:hyperlink>
      <w:r w:rsidR="00210EEC">
        <w:rPr>
          <w:rFonts w:asciiTheme="minorHAnsi" w:hAnsiTheme="minorHAnsi" w:cs="Segoe UI"/>
          <w:sz w:val="18"/>
          <w:szCs w:val="18"/>
        </w:rPr>
        <w:t xml:space="preserve"> </w:t>
      </w:r>
    </w:p>
    <w:p w14:paraId="6F8CCBA2"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76CE64A" w14:textId="550C3BFB"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Jacob, K., Weiland, S., Ferretti, J., </w:t>
      </w:r>
      <w:proofErr w:type="spellStart"/>
      <w:r w:rsidRPr="00210EEC">
        <w:rPr>
          <w:rFonts w:asciiTheme="minorHAnsi" w:hAnsiTheme="minorHAnsi" w:cs="Segoe UI"/>
          <w:sz w:val="18"/>
          <w:szCs w:val="18"/>
        </w:rPr>
        <w:t>Wascher</w:t>
      </w:r>
      <w:proofErr w:type="spellEnd"/>
      <w:r w:rsidRPr="00210EEC">
        <w:rPr>
          <w:rFonts w:asciiTheme="minorHAnsi" w:hAnsiTheme="minorHAnsi" w:cs="Segoe UI"/>
          <w:sz w:val="18"/>
          <w:szCs w:val="18"/>
        </w:rPr>
        <w:t xml:space="preserve">, D. and </w:t>
      </w:r>
      <w:proofErr w:type="spellStart"/>
      <w:r w:rsidRPr="00210EEC">
        <w:rPr>
          <w:rFonts w:asciiTheme="minorHAnsi" w:hAnsiTheme="minorHAnsi" w:cs="Segoe UI"/>
          <w:sz w:val="18"/>
          <w:szCs w:val="18"/>
        </w:rPr>
        <w:t>Chodorowska</w:t>
      </w:r>
      <w:proofErr w:type="spellEnd"/>
      <w:r w:rsidRPr="00210EEC">
        <w:rPr>
          <w:rFonts w:asciiTheme="minorHAnsi" w:hAnsiTheme="minorHAnsi" w:cs="Segoe UI"/>
          <w:sz w:val="18"/>
          <w:szCs w:val="18"/>
        </w:rPr>
        <w:t xml:space="preserve">, D. (2011). </w:t>
      </w:r>
      <w:r w:rsidRPr="00210EEC">
        <w:rPr>
          <w:rFonts w:asciiTheme="minorHAnsi" w:hAnsiTheme="minorHAnsi" w:cs="Segoe UI"/>
          <w:i/>
          <w:iCs/>
          <w:sz w:val="18"/>
          <w:szCs w:val="18"/>
        </w:rPr>
        <w:t>Integrating the Environment in Regulatory Impact Assessments.</w:t>
      </w:r>
      <w:r w:rsidRPr="00210EEC">
        <w:rPr>
          <w:rFonts w:asciiTheme="minorHAnsi" w:hAnsiTheme="minorHAnsi" w:cs="Segoe UI"/>
          <w:sz w:val="18"/>
          <w:szCs w:val="18"/>
        </w:rPr>
        <w:t xml:space="preserve"> Paris: Organization for Economic Co-operation and Development. </w:t>
      </w:r>
      <w:hyperlink r:id="rId74" w:history="1">
        <w:r w:rsidR="00210EEC" w:rsidRPr="003D09EF">
          <w:rPr>
            <w:rStyle w:val="Hyperlink"/>
            <w:rFonts w:asciiTheme="minorHAnsi" w:hAnsiTheme="minorHAnsi" w:cs="Segoe UI"/>
            <w:sz w:val="18"/>
            <w:szCs w:val="18"/>
          </w:rPr>
          <w:t>https://www.oecd.org/gov/regulatory-policy/Integrating%20RIA%20in%20Decision%20Making.pdf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7CB4FAA"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DBC2218" w14:textId="3CDE0326"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Jänicke</w:t>
      </w:r>
      <w:proofErr w:type="spellEnd"/>
      <w:r w:rsidRPr="00210EEC">
        <w:rPr>
          <w:rFonts w:asciiTheme="minorHAnsi" w:hAnsiTheme="minorHAnsi" w:cs="Segoe UI"/>
          <w:sz w:val="18"/>
          <w:szCs w:val="18"/>
        </w:rPr>
        <w:t xml:space="preserve">, M. (2007). </w:t>
      </w:r>
      <w:proofErr w:type="spellStart"/>
      <w:r w:rsidRPr="00210EEC">
        <w:rPr>
          <w:rFonts w:asciiTheme="minorHAnsi" w:hAnsiTheme="minorHAnsi" w:cs="Segoe UI"/>
          <w:sz w:val="18"/>
          <w:szCs w:val="18"/>
        </w:rPr>
        <w:t>Umweltstaat</w:t>
      </w:r>
      <w:proofErr w:type="spellEnd"/>
      <w:r w:rsidRPr="00210EEC">
        <w:rPr>
          <w:rFonts w:asciiTheme="minorHAnsi" w:hAnsiTheme="minorHAnsi" w:cs="Segoe UI"/>
          <w:sz w:val="18"/>
          <w:szCs w:val="18"/>
        </w:rPr>
        <w:t xml:space="preserve"> – </w:t>
      </w:r>
      <w:proofErr w:type="spellStart"/>
      <w:r w:rsidRPr="00210EEC">
        <w:rPr>
          <w:rFonts w:asciiTheme="minorHAnsi" w:hAnsiTheme="minorHAnsi" w:cs="Segoe UI"/>
          <w:sz w:val="18"/>
          <w:szCs w:val="18"/>
        </w:rPr>
        <w:t>eine</w:t>
      </w:r>
      <w:proofErr w:type="spellEnd"/>
      <w:r w:rsidRPr="00210EEC">
        <w:rPr>
          <w:rFonts w:asciiTheme="minorHAnsi" w:hAnsiTheme="minorHAnsi" w:cs="Segoe UI"/>
          <w:sz w:val="18"/>
          <w:szCs w:val="18"/>
        </w:rPr>
        <w:t xml:space="preserve"> </w:t>
      </w:r>
      <w:proofErr w:type="spellStart"/>
      <w:r w:rsidRPr="00210EEC">
        <w:rPr>
          <w:rFonts w:asciiTheme="minorHAnsi" w:hAnsiTheme="minorHAnsi" w:cs="Segoe UI"/>
          <w:sz w:val="18"/>
          <w:szCs w:val="18"/>
        </w:rPr>
        <w:t>neue</w:t>
      </w:r>
      <w:proofErr w:type="spellEnd"/>
      <w:r w:rsidRPr="00210EEC">
        <w:rPr>
          <w:rFonts w:asciiTheme="minorHAnsi" w:hAnsiTheme="minorHAnsi" w:cs="Segoe UI"/>
          <w:sz w:val="18"/>
          <w:szCs w:val="18"/>
        </w:rPr>
        <w:t xml:space="preserve"> </w:t>
      </w:r>
      <w:proofErr w:type="spellStart"/>
      <w:r w:rsidRPr="00210EEC">
        <w:rPr>
          <w:rFonts w:asciiTheme="minorHAnsi" w:hAnsiTheme="minorHAnsi" w:cs="Segoe UI"/>
          <w:sz w:val="18"/>
          <w:szCs w:val="18"/>
        </w:rPr>
        <w:t>Basisfunktion</w:t>
      </w:r>
      <w:proofErr w:type="spellEnd"/>
      <w:r w:rsidRPr="00210EEC">
        <w:rPr>
          <w:rFonts w:asciiTheme="minorHAnsi" w:hAnsiTheme="minorHAnsi" w:cs="Segoe UI"/>
          <w:sz w:val="18"/>
          <w:szCs w:val="18"/>
        </w:rPr>
        <w:t xml:space="preserve"> des </w:t>
      </w:r>
      <w:proofErr w:type="spellStart"/>
      <w:r w:rsidRPr="00210EEC">
        <w:rPr>
          <w:rFonts w:asciiTheme="minorHAnsi" w:hAnsiTheme="minorHAnsi" w:cs="Segoe UI"/>
          <w:sz w:val="18"/>
          <w:szCs w:val="18"/>
        </w:rPr>
        <w:t>Regierens</w:t>
      </w:r>
      <w:proofErr w:type="spellEnd"/>
      <w:r w:rsidRPr="00210EEC">
        <w:rPr>
          <w:rFonts w:asciiTheme="minorHAnsi" w:hAnsiTheme="minorHAnsi" w:cs="Segoe UI"/>
          <w:sz w:val="18"/>
          <w:szCs w:val="18"/>
        </w:rPr>
        <w:t xml:space="preserve">. </w:t>
      </w:r>
      <w:proofErr w:type="spellStart"/>
      <w:r w:rsidRPr="00210EEC">
        <w:rPr>
          <w:rFonts w:asciiTheme="minorHAnsi" w:hAnsiTheme="minorHAnsi" w:cs="Segoe UI"/>
          <w:sz w:val="18"/>
          <w:szCs w:val="18"/>
        </w:rPr>
        <w:t>Umweltintegration</w:t>
      </w:r>
      <w:proofErr w:type="spellEnd"/>
      <w:r w:rsidRPr="00210EEC">
        <w:rPr>
          <w:rFonts w:asciiTheme="minorHAnsi" w:hAnsiTheme="minorHAnsi" w:cs="Segoe UI"/>
          <w:sz w:val="18"/>
          <w:szCs w:val="18"/>
        </w:rPr>
        <w:t xml:space="preserve"> am </w:t>
      </w:r>
      <w:proofErr w:type="spellStart"/>
      <w:r w:rsidRPr="00210EEC">
        <w:rPr>
          <w:rFonts w:asciiTheme="minorHAnsi" w:hAnsiTheme="minorHAnsi" w:cs="Segoe UI"/>
          <w:sz w:val="18"/>
          <w:szCs w:val="18"/>
        </w:rPr>
        <w:t>Beispiel</w:t>
      </w:r>
      <w:proofErr w:type="spellEnd"/>
      <w:r w:rsidRPr="00210EEC">
        <w:rPr>
          <w:rFonts w:asciiTheme="minorHAnsi" w:hAnsiTheme="minorHAnsi" w:cs="Segoe UI"/>
          <w:sz w:val="18"/>
          <w:szCs w:val="18"/>
        </w:rPr>
        <w:t xml:space="preserve"> </w:t>
      </w:r>
      <w:proofErr w:type="spellStart"/>
      <w:r w:rsidRPr="00210EEC">
        <w:rPr>
          <w:rFonts w:asciiTheme="minorHAnsi" w:hAnsiTheme="minorHAnsi" w:cs="Segoe UI"/>
          <w:sz w:val="18"/>
          <w:szCs w:val="18"/>
        </w:rPr>
        <w:t>Deutschlands</w:t>
      </w:r>
      <w:proofErr w:type="spellEnd"/>
      <w:r w:rsidRPr="00210EEC">
        <w:rPr>
          <w:rFonts w:asciiTheme="minorHAnsi" w:hAnsiTheme="minorHAnsi" w:cs="Segoe UI"/>
          <w:sz w:val="18"/>
          <w:szCs w:val="18"/>
        </w:rPr>
        <w:t xml:space="preserve">. In </w:t>
      </w:r>
      <w:proofErr w:type="spellStart"/>
      <w:r w:rsidRPr="00210EEC">
        <w:rPr>
          <w:rFonts w:asciiTheme="minorHAnsi" w:hAnsiTheme="minorHAnsi" w:cs="Segoe UI"/>
          <w:i/>
          <w:iCs/>
          <w:sz w:val="18"/>
          <w:szCs w:val="18"/>
        </w:rPr>
        <w:t>Politik</w:t>
      </w:r>
      <w:proofErr w:type="spellEnd"/>
      <w:r w:rsidRPr="00210EEC">
        <w:rPr>
          <w:rFonts w:asciiTheme="minorHAnsi" w:hAnsiTheme="minorHAnsi" w:cs="Segoe UI"/>
          <w:i/>
          <w:iCs/>
          <w:sz w:val="18"/>
          <w:szCs w:val="18"/>
        </w:rPr>
        <w:t xml:space="preserve"> und Umwelt.</w:t>
      </w:r>
      <w:r w:rsidRPr="00210EEC">
        <w:rPr>
          <w:rFonts w:asciiTheme="minorHAnsi" w:hAnsiTheme="minorHAnsi" w:cs="Segoe UI"/>
          <w:sz w:val="18"/>
          <w:szCs w:val="18"/>
        </w:rPr>
        <w:t xml:space="preserve"> Jacob, K., Biermann, F., Busch, P.-O. and </w:t>
      </w:r>
      <w:proofErr w:type="spellStart"/>
      <w:r w:rsidRPr="00210EEC">
        <w:rPr>
          <w:rFonts w:asciiTheme="minorHAnsi" w:hAnsiTheme="minorHAnsi" w:cs="Segoe UI"/>
          <w:sz w:val="18"/>
          <w:szCs w:val="18"/>
        </w:rPr>
        <w:t>Feindt</w:t>
      </w:r>
      <w:proofErr w:type="spellEnd"/>
      <w:r w:rsidRPr="00210EEC">
        <w:rPr>
          <w:rFonts w:asciiTheme="minorHAnsi" w:hAnsiTheme="minorHAnsi" w:cs="Segoe UI"/>
          <w:sz w:val="18"/>
          <w:szCs w:val="18"/>
        </w:rPr>
        <w:t xml:space="preserve">, P.H. (eds.). 342-259. </w:t>
      </w:r>
      <w:hyperlink r:id="rId75" w:history="1">
        <w:r w:rsidR="00210EEC" w:rsidRPr="003D09EF">
          <w:rPr>
            <w:rStyle w:val="Hyperlink"/>
            <w:rFonts w:asciiTheme="minorHAnsi" w:hAnsiTheme="minorHAnsi" w:cs="Segoe UI"/>
            <w:sz w:val="18"/>
            <w:szCs w:val="18"/>
          </w:rPr>
          <w:t>http://www.polsoz.fu-berlin.de/polwiss/forschung/systeme/ffu/aktuelle-publikationen/martin_jaenicke__2007_d/index.html</w:t>
        </w:r>
      </w:hyperlink>
      <w:r w:rsidR="00210EEC">
        <w:rPr>
          <w:rFonts w:asciiTheme="minorHAnsi" w:hAnsiTheme="minorHAnsi" w:cs="Segoe UI"/>
          <w:sz w:val="18"/>
          <w:szCs w:val="18"/>
        </w:rPr>
        <w:t xml:space="preserve"> </w:t>
      </w:r>
    </w:p>
    <w:p w14:paraId="4574DDF1"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2F733D9E" w14:textId="640B75B6"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Jordan, A. and </w:t>
      </w:r>
      <w:proofErr w:type="spellStart"/>
      <w:r w:rsidRPr="00210EEC">
        <w:rPr>
          <w:rFonts w:asciiTheme="minorHAnsi" w:hAnsiTheme="minorHAnsi" w:cs="Segoe UI"/>
          <w:sz w:val="18"/>
          <w:szCs w:val="18"/>
        </w:rPr>
        <w:t>Huitema</w:t>
      </w:r>
      <w:proofErr w:type="spellEnd"/>
      <w:r w:rsidRPr="00210EEC">
        <w:rPr>
          <w:rFonts w:asciiTheme="minorHAnsi" w:hAnsiTheme="minorHAnsi" w:cs="Segoe UI"/>
          <w:sz w:val="18"/>
          <w:szCs w:val="18"/>
        </w:rPr>
        <w:t xml:space="preserve">, D. (2014a). Innovations in climate policy: The politics of invention, diffusion, and evaluation. </w:t>
      </w:r>
      <w:r w:rsidRPr="00210EEC">
        <w:rPr>
          <w:rFonts w:asciiTheme="minorHAnsi" w:hAnsiTheme="minorHAnsi" w:cs="Segoe UI"/>
          <w:i/>
          <w:iCs/>
          <w:sz w:val="18"/>
          <w:szCs w:val="18"/>
        </w:rPr>
        <w:t>Environmental Politics</w:t>
      </w:r>
      <w:r w:rsidRPr="00210EEC">
        <w:rPr>
          <w:rFonts w:asciiTheme="minorHAnsi" w:hAnsiTheme="minorHAnsi" w:cs="Segoe UI"/>
          <w:sz w:val="18"/>
          <w:szCs w:val="18"/>
        </w:rPr>
        <w:t xml:space="preserve"> 23(5), 715-734. </w:t>
      </w:r>
      <w:hyperlink r:id="rId76" w:history="1">
        <w:r w:rsidR="00210EEC" w:rsidRPr="003D09EF">
          <w:rPr>
            <w:rStyle w:val="Hyperlink"/>
            <w:rFonts w:asciiTheme="minorHAnsi" w:hAnsiTheme="minorHAnsi" w:cs="Segoe UI"/>
            <w:sz w:val="18"/>
            <w:szCs w:val="18"/>
          </w:rPr>
          <w:t>https://doi.org/10.1080/09644016.2014.923614</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30FB2C8"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C4AA16F" w14:textId="670DAB01"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Jordan, A. and </w:t>
      </w:r>
      <w:proofErr w:type="spellStart"/>
      <w:r w:rsidRPr="00210EEC">
        <w:rPr>
          <w:rFonts w:asciiTheme="minorHAnsi" w:hAnsiTheme="minorHAnsi" w:cs="Segoe UI"/>
          <w:sz w:val="18"/>
          <w:szCs w:val="18"/>
        </w:rPr>
        <w:t>Huitema</w:t>
      </w:r>
      <w:proofErr w:type="spellEnd"/>
      <w:r w:rsidRPr="00210EEC">
        <w:rPr>
          <w:rFonts w:asciiTheme="minorHAnsi" w:hAnsiTheme="minorHAnsi" w:cs="Segoe UI"/>
          <w:sz w:val="18"/>
          <w:szCs w:val="18"/>
        </w:rPr>
        <w:t xml:space="preserve">, D. (2014b). Policy innovation in a changing climate: Sources, patterns and effects. </w:t>
      </w:r>
      <w:r w:rsidRPr="00210EEC">
        <w:rPr>
          <w:rFonts w:asciiTheme="minorHAnsi" w:hAnsiTheme="minorHAnsi" w:cs="Segoe UI"/>
          <w:i/>
          <w:iCs/>
          <w:sz w:val="18"/>
          <w:szCs w:val="18"/>
        </w:rPr>
        <w:t>Global Environmental Change</w:t>
      </w:r>
      <w:r w:rsidRPr="00210EEC">
        <w:rPr>
          <w:rFonts w:asciiTheme="minorHAnsi" w:hAnsiTheme="minorHAnsi" w:cs="Segoe UI"/>
          <w:sz w:val="18"/>
          <w:szCs w:val="18"/>
        </w:rPr>
        <w:t xml:space="preserve"> 29, 387-394. </w:t>
      </w:r>
      <w:hyperlink r:id="rId77" w:history="1">
        <w:r w:rsidR="00210EEC" w:rsidRPr="003D09EF">
          <w:rPr>
            <w:rStyle w:val="Hyperlink"/>
            <w:rFonts w:asciiTheme="minorHAnsi" w:hAnsiTheme="minorHAnsi" w:cs="Segoe UI"/>
            <w:sz w:val="18"/>
            <w:szCs w:val="18"/>
          </w:rPr>
          <w:t>https://doi.org/10.1016/j.gloenvcha.2014.09.005</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620060E"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594FBAF" w14:textId="49EC4E06"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Jordan, A. and </w:t>
      </w:r>
      <w:proofErr w:type="spellStart"/>
      <w:r w:rsidRPr="00210EEC">
        <w:rPr>
          <w:rFonts w:asciiTheme="minorHAnsi" w:hAnsiTheme="minorHAnsi" w:cs="Segoe UI"/>
          <w:sz w:val="18"/>
          <w:szCs w:val="18"/>
        </w:rPr>
        <w:t>Lenschow</w:t>
      </w:r>
      <w:proofErr w:type="spellEnd"/>
      <w:r w:rsidRPr="00210EEC">
        <w:rPr>
          <w:rFonts w:asciiTheme="minorHAnsi" w:hAnsiTheme="minorHAnsi" w:cs="Segoe UI"/>
          <w:sz w:val="18"/>
          <w:szCs w:val="18"/>
        </w:rPr>
        <w:t xml:space="preserve">, A. (2010). Environmental policy integration: A state of the art review. </w:t>
      </w:r>
      <w:r w:rsidRPr="00210EEC">
        <w:rPr>
          <w:rFonts w:asciiTheme="minorHAnsi" w:hAnsiTheme="minorHAnsi" w:cs="Segoe UI"/>
          <w:i/>
          <w:iCs/>
          <w:sz w:val="18"/>
          <w:szCs w:val="18"/>
        </w:rPr>
        <w:t>Environmental Policy and Governance</w:t>
      </w:r>
      <w:r w:rsidRPr="00210EEC">
        <w:rPr>
          <w:rFonts w:asciiTheme="minorHAnsi" w:hAnsiTheme="minorHAnsi" w:cs="Segoe UI"/>
          <w:sz w:val="18"/>
          <w:szCs w:val="18"/>
        </w:rPr>
        <w:t xml:space="preserve"> 20(3), 147-158. </w:t>
      </w:r>
      <w:hyperlink r:id="rId78" w:history="1">
        <w:r w:rsidR="00210EEC" w:rsidRPr="003D09EF">
          <w:rPr>
            <w:rStyle w:val="Hyperlink"/>
            <w:rFonts w:asciiTheme="minorHAnsi" w:hAnsiTheme="minorHAnsi" w:cs="Segoe UI"/>
            <w:sz w:val="18"/>
            <w:szCs w:val="18"/>
          </w:rPr>
          <w:t>https://doi.org/10.1002/eet.539</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F88560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C59CC4C" w14:textId="3C12D1D0"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Jordan, A. and Matt, E. (2014). Designing policies that intentionally stick: Policy feedback in a changing climate. </w:t>
      </w:r>
      <w:r w:rsidRPr="00210EEC">
        <w:rPr>
          <w:rFonts w:asciiTheme="minorHAnsi" w:hAnsiTheme="minorHAnsi" w:cs="Segoe UI"/>
          <w:i/>
          <w:iCs/>
          <w:sz w:val="18"/>
          <w:szCs w:val="18"/>
        </w:rPr>
        <w:t>Policy Sciences</w:t>
      </w:r>
      <w:r w:rsidRPr="00210EEC">
        <w:rPr>
          <w:rFonts w:asciiTheme="minorHAnsi" w:hAnsiTheme="minorHAnsi" w:cs="Segoe UI"/>
          <w:sz w:val="18"/>
          <w:szCs w:val="18"/>
        </w:rPr>
        <w:t xml:space="preserve"> 47(3), 227-247. </w:t>
      </w:r>
      <w:hyperlink r:id="rId79" w:history="1">
        <w:r w:rsidR="00210EEC" w:rsidRPr="003D09EF">
          <w:rPr>
            <w:rStyle w:val="Hyperlink"/>
            <w:rFonts w:asciiTheme="minorHAnsi" w:hAnsiTheme="minorHAnsi" w:cs="Segoe UI"/>
            <w:sz w:val="18"/>
            <w:szCs w:val="18"/>
          </w:rPr>
          <w:t>https://doi.org/10.1007/s11077-014-9201-x</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BFF5375"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D316CCB" w14:textId="4ED1064E"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Kemp, R. and </w:t>
      </w:r>
      <w:proofErr w:type="spellStart"/>
      <w:r w:rsidRPr="00210EEC">
        <w:rPr>
          <w:rFonts w:asciiTheme="minorHAnsi" w:hAnsiTheme="minorHAnsi" w:cs="Segoe UI"/>
          <w:sz w:val="18"/>
          <w:szCs w:val="18"/>
        </w:rPr>
        <w:t>Pontoglio</w:t>
      </w:r>
      <w:proofErr w:type="spellEnd"/>
      <w:r w:rsidRPr="00210EEC">
        <w:rPr>
          <w:rFonts w:asciiTheme="minorHAnsi" w:hAnsiTheme="minorHAnsi" w:cs="Segoe UI"/>
          <w:sz w:val="18"/>
          <w:szCs w:val="18"/>
        </w:rPr>
        <w:t xml:space="preserve">, S. (2011). The innovation effects of environmental policy instruments — A typical case of the blind men and the elephant? </w:t>
      </w:r>
      <w:r w:rsidRPr="00210EEC">
        <w:rPr>
          <w:rFonts w:asciiTheme="minorHAnsi" w:hAnsiTheme="minorHAnsi" w:cs="Segoe UI"/>
          <w:i/>
          <w:iCs/>
          <w:sz w:val="18"/>
          <w:szCs w:val="18"/>
        </w:rPr>
        <w:t>Ecological Economics</w:t>
      </w:r>
      <w:r w:rsidRPr="00210EEC">
        <w:rPr>
          <w:rFonts w:asciiTheme="minorHAnsi" w:hAnsiTheme="minorHAnsi" w:cs="Segoe UI"/>
          <w:sz w:val="18"/>
          <w:szCs w:val="18"/>
        </w:rPr>
        <w:t xml:space="preserve"> 72, 28-36. </w:t>
      </w:r>
      <w:hyperlink r:id="rId80" w:history="1">
        <w:r w:rsidR="00210EEC" w:rsidRPr="003D09EF">
          <w:rPr>
            <w:rStyle w:val="Hyperlink"/>
            <w:rFonts w:asciiTheme="minorHAnsi" w:hAnsiTheme="minorHAnsi" w:cs="Segoe UI"/>
            <w:sz w:val="18"/>
            <w:szCs w:val="18"/>
          </w:rPr>
          <w:t>https://doi.org/10.1016/j.ecolecon.2011.09.014</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C2797E9"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5FBC2B3" w14:textId="6CF6C451"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Kern, F., </w:t>
      </w:r>
      <w:proofErr w:type="spellStart"/>
      <w:r w:rsidRPr="00210EEC">
        <w:rPr>
          <w:rFonts w:asciiTheme="minorHAnsi" w:hAnsiTheme="minorHAnsi" w:cs="Segoe UI"/>
          <w:sz w:val="18"/>
          <w:szCs w:val="18"/>
        </w:rPr>
        <w:t>Kivimaa</w:t>
      </w:r>
      <w:proofErr w:type="spellEnd"/>
      <w:r w:rsidRPr="00210EEC">
        <w:rPr>
          <w:rFonts w:asciiTheme="minorHAnsi" w:hAnsiTheme="minorHAnsi" w:cs="Segoe UI"/>
          <w:sz w:val="18"/>
          <w:szCs w:val="18"/>
        </w:rPr>
        <w:t xml:space="preserve">, P. and </w:t>
      </w:r>
      <w:proofErr w:type="spellStart"/>
      <w:r w:rsidRPr="00210EEC">
        <w:rPr>
          <w:rFonts w:asciiTheme="minorHAnsi" w:hAnsiTheme="minorHAnsi" w:cs="Segoe UI"/>
          <w:sz w:val="18"/>
          <w:szCs w:val="18"/>
        </w:rPr>
        <w:t>Martiskainen</w:t>
      </w:r>
      <w:proofErr w:type="spellEnd"/>
      <w:r w:rsidRPr="00210EEC">
        <w:rPr>
          <w:rFonts w:asciiTheme="minorHAnsi" w:hAnsiTheme="minorHAnsi" w:cs="Segoe UI"/>
          <w:sz w:val="18"/>
          <w:szCs w:val="18"/>
        </w:rPr>
        <w:t xml:space="preserve">, M. (2017). Policy packaging or policy patching? The development of complex </w:t>
      </w:r>
      <w:r w:rsidRPr="00210EEC">
        <w:rPr>
          <w:rFonts w:asciiTheme="minorHAnsi" w:hAnsiTheme="minorHAnsi" w:cs="Segoe UI"/>
          <w:sz w:val="18"/>
          <w:szCs w:val="18"/>
        </w:rPr>
        <w:lastRenderedPageBreak/>
        <w:t xml:space="preserve">energy efficiency policy mixes. </w:t>
      </w:r>
      <w:r w:rsidRPr="00210EEC">
        <w:rPr>
          <w:rFonts w:asciiTheme="minorHAnsi" w:hAnsiTheme="minorHAnsi" w:cs="Segoe UI"/>
          <w:i/>
          <w:iCs/>
          <w:sz w:val="18"/>
          <w:szCs w:val="18"/>
        </w:rPr>
        <w:t>Energy Research &amp; Social Science</w:t>
      </w:r>
      <w:r w:rsidRPr="00210EEC">
        <w:rPr>
          <w:rFonts w:asciiTheme="minorHAnsi" w:hAnsiTheme="minorHAnsi" w:cs="Segoe UI"/>
          <w:sz w:val="18"/>
          <w:szCs w:val="18"/>
        </w:rPr>
        <w:t xml:space="preserve"> 23, 11-25. </w:t>
      </w:r>
      <w:hyperlink r:id="rId81" w:history="1">
        <w:r w:rsidR="00210EEC" w:rsidRPr="003D09EF">
          <w:rPr>
            <w:rStyle w:val="Hyperlink"/>
            <w:rFonts w:asciiTheme="minorHAnsi" w:hAnsiTheme="minorHAnsi" w:cs="Segoe UI"/>
            <w:sz w:val="18"/>
            <w:szCs w:val="18"/>
          </w:rPr>
          <w:t>https://doi.org/10.1016/j.erss.2016.11.002</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6692D02"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BF099B7" w14:textId="579D8403"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Kloepfer</w:t>
      </w:r>
      <w:proofErr w:type="spellEnd"/>
      <w:r w:rsidRPr="00210EEC">
        <w:rPr>
          <w:rFonts w:asciiTheme="minorHAnsi" w:hAnsiTheme="minorHAnsi" w:cs="Segoe UI"/>
          <w:sz w:val="18"/>
          <w:szCs w:val="18"/>
        </w:rPr>
        <w:t xml:space="preserve">, M. (1989). Der </w:t>
      </w:r>
      <w:proofErr w:type="spellStart"/>
      <w:r w:rsidRPr="00210EEC">
        <w:rPr>
          <w:rFonts w:asciiTheme="minorHAnsi" w:hAnsiTheme="minorHAnsi" w:cs="Segoe UI"/>
          <w:sz w:val="18"/>
          <w:szCs w:val="18"/>
        </w:rPr>
        <w:t>begriff</w:t>
      </w:r>
      <w:proofErr w:type="spellEnd"/>
      <w:r w:rsidRPr="00210EEC">
        <w:rPr>
          <w:rFonts w:asciiTheme="minorHAnsi" w:hAnsiTheme="minorHAnsi" w:cs="Segoe UI"/>
          <w:sz w:val="18"/>
          <w:szCs w:val="18"/>
        </w:rPr>
        <w:t xml:space="preserve"> </w:t>
      </w:r>
      <w:proofErr w:type="spellStart"/>
      <w:r w:rsidRPr="00210EEC">
        <w:rPr>
          <w:rFonts w:asciiTheme="minorHAnsi" w:hAnsiTheme="minorHAnsi" w:cs="Segoe UI"/>
          <w:sz w:val="18"/>
          <w:szCs w:val="18"/>
        </w:rPr>
        <w:t>umweltstaat</w:t>
      </w:r>
      <w:proofErr w:type="spellEnd"/>
      <w:r w:rsidRPr="00210EEC">
        <w:rPr>
          <w:rFonts w:asciiTheme="minorHAnsi" w:hAnsiTheme="minorHAnsi" w:cs="Segoe UI"/>
          <w:sz w:val="18"/>
          <w:szCs w:val="18"/>
        </w:rPr>
        <w:t xml:space="preserve">. In </w:t>
      </w:r>
      <w:proofErr w:type="spellStart"/>
      <w:r w:rsidRPr="00210EEC">
        <w:rPr>
          <w:rFonts w:asciiTheme="minorHAnsi" w:hAnsiTheme="minorHAnsi" w:cs="Segoe UI"/>
          <w:i/>
          <w:iCs/>
          <w:sz w:val="18"/>
          <w:szCs w:val="18"/>
        </w:rPr>
        <w:t>Umweltstaat</w:t>
      </w:r>
      <w:proofErr w:type="spellEnd"/>
      <w:r w:rsidRPr="00210EEC">
        <w:rPr>
          <w:rFonts w:asciiTheme="minorHAnsi" w:hAnsiTheme="minorHAnsi" w:cs="Segoe UI"/>
          <w:i/>
          <w:iCs/>
          <w:sz w:val="18"/>
          <w:szCs w:val="18"/>
        </w:rPr>
        <w:t>.</w:t>
      </w:r>
      <w:r w:rsidRPr="00210EEC">
        <w:rPr>
          <w:rFonts w:asciiTheme="minorHAnsi" w:hAnsiTheme="minorHAnsi" w:cs="Segoe UI"/>
          <w:sz w:val="18"/>
          <w:szCs w:val="18"/>
        </w:rPr>
        <w:t xml:space="preserve"> </w:t>
      </w:r>
      <w:proofErr w:type="spellStart"/>
      <w:r w:rsidRPr="00210EEC">
        <w:rPr>
          <w:rFonts w:asciiTheme="minorHAnsi" w:hAnsiTheme="minorHAnsi" w:cs="Segoe UI"/>
          <w:sz w:val="18"/>
          <w:szCs w:val="18"/>
        </w:rPr>
        <w:t>Kloepfer</w:t>
      </w:r>
      <w:proofErr w:type="spellEnd"/>
      <w:r w:rsidRPr="00210EEC">
        <w:rPr>
          <w:rFonts w:asciiTheme="minorHAnsi" w:hAnsiTheme="minorHAnsi" w:cs="Segoe UI"/>
          <w:sz w:val="18"/>
          <w:szCs w:val="18"/>
        </w:rPr>
        <w:t xml:space="preserve">, M. (ed.).  Berlin: Springer. 43-44. </w:t>
      </w:r>
      <w:hyperlink r:id="rId82" w:history="1">
        <w:r w:rsidR="00210EEC" w:rsidRPr="003D09EF">
          <w:rPr>
            <w:rStyle w:val="Hyperlink"/>
            <w:rFonts w:asciiTheme="minorHAnsi" w:hAnsiTheme="minorHAnsi" w:cs="Segoe UI"/>
            <w:sz w:val="18"/>
            <w:szCs w:val="18"/>
          </w:rPr>
          <w:t>https://link.springer.com/chapter/10.1007/978-3-642-95596-9_6</w:t>
        </w:r>
      </w:hyperlink>
      <w:r w:rsidR="00210EEC">
        <w:rPr>
          <w:rFonts w:asciiTheme="minorHAnsi" w:hAnsiTheme="minorHAnsi" w:cs="Segoe UI"/>
          <w:sz w:val="18"/>
          <w:szCs w:val="18"/>
        </w:rPr>
        <w:t xml:space="preserve"> </w:t>
      </w:r>
    </w:p>
    <w:p w14:paraId="0845E237"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C041EA2" w14:textId="0D1C420C"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Knill</w:t>
      </w:r>
      <w:proofErr w:type="spellEnd"/>
      <w:r w:rsidRPr="00210EEC">
        <w:rPr>
          <w:rFonts w:asciiTheme="minorHAnsi" w:hAnsiTheme="minorHAnsi" w:cs="Segoe UI"/>
          <w:sz w:val="18"/>
          <w:szCs w:val="18"/>
        </w:rPr>
        <w:t xml:space="preserve">, C., Schulze, K. and </w:t>
      </w:r>
      <w:proofErr w:type="spellStart"/>
      <w:r w:rsidRPr="00210EEC">
        <w:rPr>
          <w:rFonts w:asciiTheme="minorHAnsi" w:hAnsiTheme="minorHAnsi" w:cs="Segoe UI"/>
          <w:sz w:val="18"/>
          <w:szCs w:val="18"/>
        </w:rPr>
        <w:t>Tosun</w:t>
      </w:r>
      <w:proofErr w:type="spellEnd"/>
      <w:r w:rsidRPr="00210EEC">
        <w:rPr>
          <w:rFonts w:asciiTheme="minorHAnsi" w:hAnsiTheme="minorHAnsi" w:cs="Segoe UI"/>
          <w:sz w:val="18"/>
          <w:szCs w:val="18"/>
        </w:rPr>
        <w:t xml:space="preserve">, J. (2012). Regulatory policy outputs and impacts: Exploring a complex relationship. </w:t>
      </w:r>
      <w:r w:rsidRPr="00210EEC">
        <w:rPr>
          <w:rFonts w:asciiTheme="minorHAnsi" w:hAnsiTheme="minorHAnsi" w:cs="Segoe UI"/>
          <w:i/>
          <w:iCs/>
          <w:sz w:val="18"/>
          <w:szCs w:val="18"/>
        </w:rPr>
        <w:t>Regulation &amp; Governance</w:t>
      </w:r>
      <w:r w:rsidRPr="00210EEC">
        <w:rPr>
          <w:rFonts w:asciiTheme="minorHAnsi" w:hAnsiTheme="minorHAnsi" w:cs="Segoe UI"/>
          <w:sz w:val="18"/>
          <w:szCs w:val="18"/>
        </w:rPr>
        <w:t xml:space="preserve"> 6(4), 427-444. </w:t>
      </w:r>
      <w:hyperlink r:id="rId83" w:history="1">
        <w:r w:rsidR="00210EEC" w:rsidRPr="003D09EF">
          <w:rPr>
            <w:rStyle w:val="Hyperlink"/>
            <w:rFonts w:asciiTheme="minorHAnsi" w:hAnsiTheme="minorHAnsi" w:cs="Segoe UI"/>
            <w:sz w:val="18"/>
            <w:szCs w:val="18"/>
          </w:rPr>
          <w:t>https://doi.org/10.1111/j.1748-5991.2012.01150.x</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5183811"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D2BD0E5" w14:textId="1C86F113"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Koremenos</w:t>
      </w:r>
      <w:proofErr w:type="spellEnd"/>
      <w:r w:rsidRPr="00210EEC">
        <w:rPr>
          <w:rFonts w:asciiTheme="minorHAnsi" w:hAnsiTheme="minorHAnsi" w:cs="Segoe UI"/>
          <w:sz w:val="18"/>
          <w:szCs w:val="18"/>
        </w:rPr>
        <w:t xml:space="preserve">, B., Lipson, C. and Snidal, D. (2001). The rational design of international institutions. </w:t>
      </w:r>
      <w:r w:rsidRPr="00210EEC">
        <w:rPr>
          <w:rFonts w:asciiTheme="minorHAnsi" w:hAnsiTheme="minorHAnsi" w:cs="Segoe UI"/>
          <w:i/>
          <w:iCs/>
          <w:sz w:val="18"/>
          <w:szCs w:val="18"/>
        </w:rPr>
        <w:t>International Organization</w:t>
      </w:r>
      <w:r w:rsidRPr="00210EEC">
        <w:rPr>
          <w:rFonts w:asciiTheme="minorHAnsi" w:hAnsiTheme="minorHAnsi" w:cs="Segoe UI"/>
          <w:sz w:val="18"/>
          <w:szCs w:val="18"/>
        </w:rPr>
        <w:t xml:space="preserve"> 55(4), 761-799. </w:t>
      </w:r>
      <w:hyperlink r:id="rId84" w:history="1">
        <w:r w:rsidR="00210EEC" w:rsidRPr="003D09EF">
          <w:rPr>
            <w:rStyle w:val="Hyperlink"/>
            <w:rFonts w:asciiTheme="minorHAnsi" w:hAnsiTheme="minorHAnsi" w:cs="Segoe UI"/>
            <w:sz w:val="18"/>
            <w:szCs w:val="18"/>
          </w:rPr>
          <w:t>https://doi.org/10.1162/002081801317193592</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4F9D089"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EC1EE77" w14:textId="75F61046"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Kotze, L.J. and Plessis, A.D. (2006). The inception and role of international environmental law in domestic biodiversity conservation efforts: The South African experience. </w:t>
      </w:r>
      <w:r w:rsidRPr="00210EEC">
        <w:rPr>
          <w:rFonts w:asciiTheme="minorHAnsi" w:hAnsiTheme="minorHAnsi" w:cs="Segoe UI"/>
          <w:i/>
          <w:iCs/>
          <w:sz w:val="18"/>
          <w:szCs w:val="18"/>
        </w:rPr>
        <w:t>Queensland University of Technology Law and Justice Journal</w:t>
      </w:r>
      <w:r w:rsidRPr="00210EEC">
        <w:rPr>
          <w:rFonts w:asciiTheme="minorHAnsi" w:hAnsiTheme="minorHAnsi" w:cs="Segoe UI"/>
          <w:sz w:val="18"/>
          <w:szCs w:val="18"/>
        </w:rPr>
        <w:t xml:space="preserve"> 6(1), 30-53. </w:t>
      </w:r>
      <w:hyperlink r:id="rId85" w:history="1">
        <w:r w:rsidR="00210EEC" w:rsidRPr="003D09EF">
          <w:rPr>
            <w:rStyle w:val="Hyperlink"/>
            <w:rFonts w:asciiTheme="minorHAnsi" w:hAnsiTheme="minorHAnsi" w:cs="Segoe UI"/>
            <w:sz w:val="18"/>
            <w:szCs w:val="18"/>
          </w:rPr>
          <w:t>https://doi.org/10.5204/qutlr.v6i1.191</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0E604C7"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3520CF3" w14:textId="0CF47A5E"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Lafferty, W.M. (ed.) (2004). </w:t>
      </w:r>
      <w:r w:rsidRPr="00210EEC">
        <w:rPr>
          <w:rFonts w:asciiTheme="minorHAnsi" w:hAnsiTheme="minorHAnsi" w:cs="Segoe UI"/>
          <w:i/>
          <w:iCs/>
          <w:sz w:val="18"/>
          <w:szCs w:val="18"/>
        </w:rPr>
        <w:t>Governance for Sustainable Development: The Challenge of Adapting Form to Function</w:t>
      </w:r>
      <w:r w:rsidRPr="00210EEC">
        <w:rPr>
          <w:rFonts w:asciiTheme="minorHAnsi" w:hAnsiTheme="minorHAnsi" w:cs="Segoe UI"/>
          <w:sz w:val="18"/>
          <w:szCs w:val="18"/>
        </w:rPr>
        <w:t xml:space="preserve">. Cheltenham: Edward Elgar. </w:t>
      </w:r>
      <w:hyperlink r:id="rId86" w:history="1">
        <w:r w:rsidR="00210EEC" w:rsidRPr="003D09EF">
          <w:rPr>
            <w:rStyle w:val="Hyperlink"/>
            <w:rFonts w:asciiTheme="minorHAnsi" w:hAnsiTheme="minorHAnsi" w:cs="Segoe UI"/>
            <w:sz w:val="18"/>
            <w:szCs w:val="18"/>
          </w:rPr>
          <w:t>https://www.e-elgar.com/shop/governance-for-sustainable-development</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DC7AB21"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FFCFD8F" w14:textId="6E6B2499"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Lay, J., Brandi, C., Das, R.U., Klein, R., Thiele, R., Alexander, N.</w:t>
      </w:r>
      <w:r w:rsidRPr="00210EEC">
        <w:rPr>
          <w:rFonts w:asciiTheme="minorHAnsi" w:hAnsiTheme="minorHAnsi" w:cs="Segoe UI"/>
          <w:i/>
          <w:iCs/>
          <w:sz w:val="18"/>
          <w:szCs w:val="18"/>
        </w:rPr>
        <w:t xml:space="preserve"> et al.</w:t>
      </w:r>
      <w:r w:rsidRPr="00210EEC">
        <w:rPr>
          <w:rFonts w:asciiTheme="minorHAnsi" w:hAnsiTheme="minorHAnsi" w:cs="Segoe UI"/>
          <w:sz w:val="18"/>
          <w:szCs w:val="18"/>
        </w:rPr>
        <w:t xml:space="preserve"> (2017). </w:t>
      </w:r>
      <w:r w:rsidRPr="00210EEC">
        <w:rPr>
          <w:rFonts w:asciiTheme="minorHAnsi" w:hAnsiTheme="minorHAnsi" w:cs="Segoe UI"/>
          <w:i/>
          <w:iCs/>
          <w:sz w:val="18"/>
          <w:szCs w:val="18"/>
        </w:rPr>
        <w:t>Coherent G20 Policies Towards the 2030 Agenda for Sustainable Development.</w:t>
      </w:r>
      <w:r w:rsidRPr="00210EEC">
        <w:rPr>
          <w:rFonts w:asciiTheme="minorHAnsi" w:hAnsiTheme="minorHAnsi" w:cs="Segoe UI"/>
          <w:sz w:val="18"/>
          <w:szCs w:val="18"/>
        </w:rPr>
        <w:t xml:space="preserve"> G20 Insights. </w:t>
      </w:r>
      <w:hyperlink r:id="rId87" w:history="1">
        <w:r w:rsidR="00210EEC" w:rsidRPr="003D09EF">
          <w:rPr>
            <w:rStyle w:val="Hyperlink"/>
            <w:rFonts w:asciiTheme="minorHAnsi" w:hAnsiTheme="minorHAnsi" w:cs="Segoe UI"/>
            <w:sz w:val="18"/>
            <w:szCs w:val="18"/>
          </w:rPr>
          <w:t>http://www.g20-insights.org/wp-content/uploads/2017/03/TF_2030_Agenda_PolicyCoherence.pdf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798385B"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5B6D9FE" w14:textId="29F4D2A5"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Le </w:t>
      </w:r>
      <w:proofErr w:type="spellStart"/>
      <w:r w:rsidRPr="00210EEC">
        <w:rPr>
          <w:rFonts w:asciiTheme="minorHAnsi" w:hAnsiTheme="minorHAnsi" w:cs="Segoe UI"/>
          <w:sz w:val="18"/>
          <w:szCs w:val="18"/>
        </w:rPr>
        <w:t>Prestre</w:t>
      </w:r>
      <w:proofErr w:type="spellEnd"/>
      <w:r w:rsidRPr="00210EEC">
        <w:rPr>
          <w:rFonts w:asciiTheme="minorHAnsi" w:hAnsiTheme="minorHAnsi" w:cs="Segoe UI"/>
          <w:sz w:val="18"/>
          <w:szCs w:val="18"/>
        </w:rPr>
        <w:t xml:space="preserve">, P.G. (2002). Studying the effectiveness of the CBD. In </w:t>
      </w:r>
      <w:r w:rsidRPr="00210EEC">
        <w:rPr>
          <w:rFonts w:asciiTheme="minorHAnsi" w:hAnsiTheme="minorHAnsi" w:cs="Segoe UI"/>
          <w:i/>
          <w:iCs/>
          <w:sz w:val="18"/>
          <w:szCs w:val="18"/>
        </w:rPr>
        <w:t>Governing global biodiversity: The evolution and implementation of the convention on biological diversity.</w:t>
      </w:r>
      <w:r w:rsidRPr="00210EEC">
        <w:rPr>
          <w:rFonts w:asciiTheme="minorHAnsi" w:hAnsiTheme="minorHAnsi" w:cs="Segoe UI"/>
          <w:sz w:val="18"/>
          <w:szCs w:val="18"/>
        </w:rPr>
        <w:t xml:space="preserve"> Le </w:t>
      </w:r>
      <w:proofErr w:type="spellStart"/>
      <w:r w:rsidRPr="00210EEC">
        <w:rPr>
          <w:rFonts w:asciiTheme="minorHAnsi" w:hAnsiTheme="minorHAnsi" w:cs="Segoe UI"/>
          <w:sz w:val="18"/>
          <w:szCs w:val="18"/>
        </w:rPr>
        <w:t>Prestre</w:t>
      </w:r>
      <w:proofErr w:type="spellEnd"/>
      <w:r w:rsidRPr="00210EEC">
        <w:rPr>
          <w:rFonts w:asciiTheme="minorHAnsi" w:hAnsiTheme="minorHAnsi" w:cs="Segoe UI"/>
          <w:sz w:val="18"/>
          <w:szCs w:val="18"/>
        </w:rPr>
        <w:t xml:space="preserve">, P.G. (ed.).  London: Routledge. chapter 3. </w:t>
      </w:r>
      <w:hyperlink r:id="rId88" w:history="1">
        <w:r w:rsidR="00210EEC" w:rsidRPr="003D09EF">
          <w:rPr>
            <w:rStyle w:val="Hyperlink"/>
            <w:rFonts w:asciiTheme="minorHAnsi" w:hAnsiTheme="minorHAnsi" w:cs="Segoe UI"/>
            <w:sz w:val="18"/>
            <w:szCs w:val="18"/>
          </w:rPr>
          <w:t>https://www.taylorfrancis.com/books/e/9781351932547</w:t>
        </w:r>
      </w:hyperlink>
      <w:r w:rsidR="00210EEC">
        <w:rPr>
          <w:rFonts w:asciiTheme="minorHAnsi" w:hAnsiTheme="minorHAnsi" w:cs="Segoe UI"/>
          <w:sz w:val="18"/>
          <w:szCs w:val="18"/>
        </w:rPr>
        <w:t xml:space="preserve"> </w:t>
      </w:r>
    </w:p>
    <w:p w14:paraId="32D5C46F"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DDDA406" w14:textId="5847AE52"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Lee, N. and Walsh, F. (1992). Strategic environmental assessment: An overview. </w:t>
      </w:r>
      <w:r w:rsidRPr="00210EEC">
        <w:rPr>
          <w:rFonts w:asciiTheme="minorHAnsi" w:hAnsiTheme="minorHAnsi" w:cs="Segoe UI"/>
          <w:i/>
          <w:iCs/>
          <w:sz w:val="18"/>
          <w:szCs w:val="18"/>
        </w:rPr>
        <w:t>Project Appraisal</w:t>
      </w:r>
      <w:r w:rsidRPr="00210EEC">
        <w:rPr>
          <w:rFonts w:asciiTheme="minorHAnsi" w:hAnsiTheme="minorHAnsi" w:cs="Segoe UI"/>
          <w:sz w:val="18"/>
          <w:szCs w:val="18"/>
        </w:rPr>
        <w:t xml:space="preserve"> 7(3), 126-136. </w:t>
      </w:r>
      <w:hyperlink r:id="rId89" w:history="1">
        <w:r w:rsidR="00210EEC" w:rsidRPr="003D09EF">
          <w:rPr>
            <w:rStyle w:val="Hyperlink"/>
            <w:rFonts w:asciiTheme="minorHAnsi" w:hAnsiTheme="minorHAnsi" w:cs="Segoe UI"/>
            <w:sz w:val="18"/>
            <w:szCs w:val="18"/>
          </w:rPr>
          <w:t>https://doi.org/10.1080/02688867.1992.9726853</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AEA61E1"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CB9DD91" w14:textId="05DA8072"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Levin, S., </w:t>
      </w:r>
      <w:proofErr w:type="spellStart"/>
      <w:r w:rsidRPr="00210EEC">
        <w:rPr>
          <w:rFonts w:asciiTheme="minorHAnsi" w:hAnsiTheme="minorHAnsi" w:cs="Segoe UI"/>
          <w:sz w:val="18"/>
          <w:szCs w:val="18"/>
        </w:rPr>
        <w:t>Xepapadeas</w:t>
      </w:r>
      <w:proofErr w:type="spellEnd"/>
      <w:r w:rsidRPr="00210EEC">
        <w:rPr>
          <w:rFonts w:asciiTheme="minorHAnsi" w:hAnsiTheme="minorHAnsi" w:cs="Segoe UI"/>
          <w:sz w:val="18"/>
          <w:szCs w:val="18"/>
        </w:rPr>
        <w:t xml:space="preserve">, T., </w:t>
      </w:r>
      <w:proofErr w:type="spellStart"/>
      <w:r w:rsidRPr="00210EEC">
        <w:rPr>
          <w:rFonts w:asciiTheme="minorHAnsi" w:hAnsiTheme="minorHAnsi" w:cs="Segoe UI"/>
          <w:sz w:val="18"/>
          <w:szCs w:val="18"/>
        </w:rPr>
        <w:t>Crepin</w:t>
      </w:r>
      <w:proofErr w:type="spellEnd"/>
      <w:r w:rsidRPr="00210EEC">
        <w:rPr>
          <w:rFonts w:asciiTheme="minorHAnsi" w:hAnsiTheme="minorHAnsi" w:cs="Segoe UI"/>
          <w:sz w:val="18"/>
          <w:szCs w:val="18"/>
        </w:rPr>
        <w:t xml:space="preserve">, A.S., Norberg, J., De </w:t>
      </w:r>
      <w:proofErr w:type="spellStart"/>
      <w:r w:rsidRPr="00210EEC">
        <w:rPr>
          <w:rFonts w:asciiTheme="minorHAnsi" w:hAnsiTheme="minorHAnsi" w:cs="Segoe UI"/>
          <w:sz w:val="18"/>
          <w:szCs w:val="18"/>
        </w:rPr>
        <w:t>Zeeuw</w:t>
      </w:r>
      <w:proofErr w:type="spellEnd"/>
      <w:r w:rsidRPr="00210EEC">
        <w:rPr>
          <w:rFonts w:asciiTheme="minorHAnsi" w:hAnsiTheme="minorHAnsi" w:cs="Segoe UI"/>
          <w:sz w:val="18"/>
          <w:szCs w:val="18"/>
        </w:rPr>
        <w:t xml:space="preserve">, A., </w:t>
      </w:r>
      <w:proofErr w:type="spellStart"/>
      <w:r w:rsidRPr="00210EEC">
        <w:rPr>
          <w:rFonts w:asciiTheme="minorHAnsi" w:hAnsiTheme="minorHAnsi" w:cs="Segoe UI"/>
          <w:sz w:val="18"/>
          <w:szCs w:val="18"/>
        </w:rPr>
        <w:t>Folke</w:t>
      </w:r>
      <w:proofErr w:type="spellEnd"/>
      <w:r w:rsidRPr="00210EEC">
        <w:rPr>
          <w:rFonts w:asciiTheme="minorHAnsi" w:hAnsiTheme="minorHAnsi" w:cs="Segoe UI"/>
          <w:sz w:val="18"/>
          <w:szCs w:val="18"/>
        </w:rPr>
        <w:t>, C.</w:t>
      </w:r>
      <w:r w:rsidRPr="00210EEC">
        <w:rPr>
          <w:rFonts w:asciiTheme="minorHAnsi" w:hAnsiTheme="minorHAnsi" w:cs="Segoe UI"/>
          <w:i/>
          <w:iCs/>
          <w:sz w:val="18"/>
          <w:szCs w:val="18"/>
        </w:rPr>
        <w:t xml:space="preserve"> et al.</w:t>
      </w:r>
      <w:r w:rsidRPr="00210EEC">
        <w:rPr>
          <w:rFonts w:asciiTheme="minorHAnsi" w:hAnsiTheme="minorHAnsi" w:cs="Segoe UI"/>
          <w:sz w:val="18"/>
          <w:szCs w:val="18"/>
        </w:rPr>
        <w:t xml:space="preserve"> (2013). Social-ecological systems as complex adaptive systems: </w:t>
      </w:r>
      <w:proofErr w:type="spellStart"/>
      <w:r w:rsidRPr="00210EEC">
        <w:rPr>
          <w:rFonts w:asciiTheme="minorHAnsi" w:hAnsiTheme="minorHAnsi" w:cs="Segoe UI"/>
          <w:sz w:val="18"/>
          <w:szCs w:val="18"/>
        </w:rPr>
        <w:t>Modeling</w:t>
      </w:r>
      <w:proofErr w:type="spellEnd"/>
      <w:r w:rsidRPr="00210EEC">
        <w:rPr>
          <w:rFonts w:asciiTheme="minorHAnsi" w:hAnsiTheme="minorHAnsi" w:cs="Segoe UI"/>
          <w:sz w:val="18"/>
          <w:szCs w:val="18"/>
        </w:rPr>
        <w:t xml:space="preserve"> and policy implications. </w:t>
      </w:r>
      <w:r w:rsidRPr="00210EEC">
        <w:rPr>
          <w:rFonts w:asciiTheme="minorHAnsi" w:hAnsiTheme="minorHAnsi" w:cs="Segoe UI"/>
          <w:i/>
          <w:iCs/>
          <w:sz w:val="18"/>
          <w:szCs w:val="18"/>
        </w:rPr>
        <w:t>Environment and Development Economics</w:t>
      </w:r>
      <w:r w:rsidRPr="00210EEC">
        <w:rPr>
          <w:rFonts w:asciiTheme="minorHAnsi" w:hAnsiTheme="minorHAnsi" w:cs="Segoe UI"/>
          <w:sz w:val="18"/>
          <w:szCs w:val="18"/>
        </w:rPr>
        <w:t xml:space="preserve"> 18(2), 111-132. </w:t>
      </w:r>
      <w:hyperlink r:id="rId90" w:history="1">
        <w:r w:rsidR="00210EEC" w:rsidRPr="003D09EF">
          <w:rPr>
            <w:rStyle w:val="Hyperlink"/>
            <w:rFonts w:asciiTheme="minorHAnsi" w:hAnsiTheme="minorHAnsi" w:cs="Segoe UI"/>
            <w:sz w:val="18"/>
            <w:szCs w:val="18"/>
          </w:rPr>
          <w:t>https://doi.org/10.1017/S1355770x12000460</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175BB93"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CA9BD36" w14:textId="10AED458"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Liefferink</w:t>
      </w:r>
      <w:proofErr w:type="spellEnd"/>
      <w:r w:rsidRPr="00210EEC">
        <w:rPr>
          <w:rFonts w:asciiTheme="minorHAnsi" w:hAnsiTheme="minorHAnsi" w:cs="Segoe UI"/>
          <w:sz w:val="18"/>
          <w:szCs w:val="18"/>
        </w:rPr>
        <w:t xml:space="preserve">, D., Arts, B., </w:t>
      </w:r>
      <w:proofErr w:type="spellStart"/>
      <w:r w:rsidRPr="00210EEC">
        <w:rPr>
          <w:rFonts w:asciiTheme="minorHAnsi" w:hAnsiTheme="minorHAnsi" w:cs="Segoe UI"/>
          <w:sz w:val="18"/>
          <w:szCs w:val="18"/>
        </w:rPr>
        <w:t>Kamstra</w:t>
      </w:r>
      <w:proofErr w:type="spellEnd"/>
      <w:r w:rsidRPr="00210EEC">
        <w:rPr>
          <w:rFonts w:asciiTheme="minorHAnsi" w:hAnsiTheme="minorHAnsi" w:cs="Segoe UI"/>
          <w:sz w:val="18"/>
          <w:szCs w:val="18"/>
        </w:rPr>
        <w:t xml:space="preserve">, J. and </w:t>
      </w:r>
      <w:proofErr w:type="spellStart"/>
      <w:r w:rsidRPr="00210EEC">
        <w:rPr>
          <w:rFonts w:asciiTheme="minorHAnsi" w:hAnsiTheme="minorHAnsi" w:cs="Segoe UI"/>
          <w:sz w:val="18"/>
          <w:szCs w:val="18"/>
        </w:rPr>
        <w:t>Ooijevaar</w:t>
      </w:r>
      <w:proofErr w:type="spellEnd"/>
      <w:r w:rsidRPr="00210EEC">
        <w:rPr>
          <w:rFonts w:asciiTheme="minorHAnsi" w:hAnsiTheme="minorHAnsi" w:cs="Segoe UI"/>
          <w:sz w:val="18"/>
          <w:szCs w:val="18"/>
        </w:rPr>
        <w:t xml:space="preserve">, J. (2009). Leaders and laggards in environmental policy: A quantitative analysis of domestic policy outputs. </w:t>
      </w:r>
      <w:r w:rsidRPr="00210EEC">
        <w:rPr>
          <w:rFonts w:asciiTheme="minorHAnsi" w:hAnsiTheme="minorHAnsi" w:cs="Segoe UI"/>
          <w:i/>
          <w:iCs/>
          <w:sz w:val="18"/>
          <w:szCs w:val="18"/>
        </w:rPr>
        <w:t>Journal of European Public Policy</w:t>
      </w:r>
      <w:r w:rsidRPr="00210EEC">
        <w:rPr>
          <w:rFonts w:asciiTheme="minorHAnsi" w:hAnsiTheme="minorHAnsi" w:cs="Segoe UI"/>
          <w:sz w:val="18"/>
          <w:szCs w:val="18"/>
        </w:rPr>
        <w:t xml:space="preserve"> 16(5), 677-700. </w:t>
      </w:r>
      <w:hyperlink r:id="rId91" w:history="1">
        <w:r w:rsidR="00210EEC" w:rsidRPr="003D09EF">
          <w:rPr>
            <w:rStyle w:val="Hyperlink"/>
            <w:rFonts w:asciiTheme="minorHAnsi" w:hAnsiTheme="minorHAnsi" w:cs="Segoe UI"/>
            <w:sz w:val="18"/>
            <w:szCs w:val="18"/>
          </w:rPr>
          <w:t>https://doi.org/10.1080/13501760902983283</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6CC8D0B"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04BC354" w14:textId="6C9CE54C"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Lin, B. and Jiang, Z. (2011). Estimates of energy subsidies in China and impact of energy subsidy reform. </w:t>
      </w:r>
      <w:r w:rsidRPr="00210EEC">
        <w:rPr>
          <w:rFonts w:asciiTheme="minorHAnsi" w:hAnsiTheme="minorHAnsi" w:cs="Segoe UI"/>
          <w:i/>
          <w:iCs/>
          <w:sz w:val="18"/>
          <w:szCs w:val="18"/>
        </w:rPr>
        <w:t>Energy Economics</w:t>
      </w:r>
      <w:r w:rsidRPr="00210EEC">
        <w:rPr>
          <w:rFonts w:asciiTheme="minorHAnsi" w:hAnsiTheme="minorHAnsi" w:cs="Segoe UI"/>
          <w:sz w:val="18"/>
          <w:szCs w:val="18"/>
        </w:rPr>
        <w:t xml:space="preserve"> 33(2), 273-283. </w:t>
      </w:r>
      <w:hyperlink r:id="rId92" w:history="1">
        <w:r w:rsidR="00210EEC" w:rsidRPr="003D09EF">
          <w:rPr>
            <w:rStyle w:val="Hyperlink"/>
            <w:rFonts w:asciiTheme="minorHAnsi" w:hAnsiTheme="minorHAnsi" w:cs="Segoe UI"/>
            <w:sz w:val="18"/>
            <w:szCs w:val="18"/>
          </w:rPr>
          <w:t>https://doi.org/10.1016/j.eneco.2010.07.005</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591294E"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CEA9397" w14:textId="7780F31E"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Maor</w:t>
      </w:r>
      <w:proofErr w:type="spellEnd"/>
      <w:r w:rsidRPr="00210EEC">
        <w:rPr>
          <w:rFonts w:asciiTheme="minorHAnsi" w:hAnsiTheme="minorHAnsi" w:cs="Segoe UI"/>
          <w:sz w:val="18"/>
          <w:szCs w:val="18"/>
        </w:rPr>
        <w:t xml:space="preserve">, M. (2014). Policy bubbles: Policy overreaction and positive feedback. </w:t>
      </w:r>
      <w:r w:rsidRPr="00210EEC">
        <w:rPr>
          <w:rFonts w:asciiTheme="minorHAnsi" w:hAnsiTheme="minorHAnsi" w:cs="Segoe UI"/>
          <w:i/>
          <w:iCs/>
          <w:sz w:val="18"/>
          <w:szCs w:val="18"/>
        </w:rPr>
        <w:t>Governance</w:t>
      </w:r>
      <w:r w:rsidRPr="00210EEC">
        <w:rPr>
          <w:rFonts w:asciiTheme="minorHAnsi" w:hAnsiTheme="minorHAnsi" w:cs="Segoe UI"/>
          <w:sz w:val="18"/>
          <w:szCs w:val="18"/>
        </w:rPr>
        <w:t xml:space="preserve"> 27(3), 469-487. </w:t>
      </w:r>
      <w:hyperlink r:id="rId93" w:history="1">
        <w:r w:rsidR="00210EEC" w:rsidRPr="003D09EF">
          <w:rPr>
            <w:rStyle w:val="Hyperlink"/>
            <w:rFonts w:asciiTheme="minorHAnsi" w:hAnsiTheme="minorHAnsi" w:cs="Segoe UI"/>
            <w:sz w:val="18"/>
            <w:szCs w:val="18"/>
          </w:rPr>
          <w:t>https://doi.org/10.1111/gove.12048</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E2CF2A1"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D64DE1D"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Marshall, G.R. (2009). Polycentricity, reciprocity, and farmer adoption of conservation practices under community-based governance. </w:t>
      </w:r>
      <w:r w:rsidRPr="00210EEC">
        <w:rPr>
          <w:rFonts w:asciiTheme="minorHAnsi" w:hAnsiTheme="minorHAnsi" w:cs="Segoe UI"/>
          <w:i/>
          <w:iCs/>
          <w:sz w:val="18"/>
          <w:szCs w:val="18"/>
        </w:rPr>
        <w:t>Ecological Economics</w:t>
      </w:r>
      <w:r w:rsidRPr="00210EEC">
        <w:rPr>
          <w:rFonts w:asciiTheme="minorHAnsi" w:hAnsiTheme="minorHAnsi" w:cs="Segoe UI"/>
          <w:sz w:val="18"/>
          <w:szCs w:val="18"/>
        </w:rPr>
        <w:t xml:space="preserve"> 68(5), 1507-1520. https://doi.org/10.1016/J.ECOLECON.2008.10.008.</w:t>
      </w:r>
    </w:p>
    <w:p w14:paraId="71A9A6EB"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47581E8" w14:textId="35E91B23"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Matisoff</w:t>
      </w:r>
      <w:proofErr w:type="spellEnd"/>
      <w:r w:rsidRPr="00210EEC">
        <w:rPr>
          <w:rFonts w:asciiTheme="minorHAnsi" w:hAnsiTheme="minorHAnsi" w:cs="Segoe UI"/>
          <w:sz w:val="18"/>
          <w:szCs w:val="18"/>
        </w:rPr>
        <w:t xml:space="preserve">, D.C. and Edwards, J. (2014). Kindred spirits or intergovernmental competition? The innovation and diffusion of energy policies in the American states (1990–2008). </w:t>
      </w:r>
      <w:r w:rsidRPr="00210EEC">
        <w:rPr>
          <w:rFonts w:asciiTheme="minorHAnsi" w:hAnsiTheme="minorHAnsi" w:cs="Segoe UI"/>
          <w:i/>
          <w:iCs/>
          <w:sz w:val="18"/>
          <w:szCs w:val="18"/>
        </w:rPr>
        <w:t>Environmental Politics</w:t>
      </w:r>
      <w:r w:rsidRPr="00210EEC">
        <w:rPr>
          <w:rFonts w:asciiTheme="minorHAnsi" w:hAnsiTheme="minorHAnsi" w:cs="Segoe UI"/>
          <w:sz w:val="18"/>
          <w:szCs w:val="18"/>
        </w:rPr>
        <w:t xml:space="preserve"> 23(5), 795-817. </w:t>
      </w:r>
      <w:hyperlink r:id="rId94" w:history="1">
        <w:r w:rsidR="00210EEC" w:rsidRPr="003D09EF">
          <w:rPr>
            <w:rStyle w:val="Hyperlink"/>
            <w:rFonts w:asciiTheme="minorHAnsi" w:hAnsiTheme="minorHAnsi" w:cs="Segoe UI"/>
            <w:sz w:val="18"/>
            <w:szCs w:val="18"/>
          </w:rPr>
          <w:t>https://doi.org/10.1080/09644016.2014.923639</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B05508F"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5F06F65" w14:textId="22FC2670"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Mayrhofer, J.P. and Gupta, J. (2016). The science and politics of co-benefits in climate policy. </w:t>
      </w:r>
      <w:r w:rsidRPr="00210EEC">
        <w:rPr>
          <w:rFonts w:asciiTheme="minorHAnsi" w:hAnsiTheme="minorHAnsi" w:cs="Segoe UI"/>
          <w:i/>
          <w:iCs/>
          <w:sz w:val="18"/>
          <w:szCs w:val="18"/>
        </w:rPr>
        <w:t>Environmental Science &amp; Policy</w:t>
      </w:r>
      <w:r w:rsidRPr="00210EEC">
        <w:rPr>
          <w:rFonts w:asciiTheme="minorHAnsi" w:hAnsiTheme="minorHAnsi" w:cs="Segoe UI"/>
          <w:sz w:val="18"/>
          <w:szCs w:val="18"/>
        </w:rPr>
        <w:t xml:space="preserve"> 57, 22-30. </w:t>
      </w:r>
      <w:hyperlink r:id="rId95" w:history="1">
        <w:r w:rsidR="00210EEC" w:rsidRPr="003D09EF">
          <w:rPr>
            <w:rStyle w:val="Hyperlink"/>
            <w:rFonts w:asciiTheme="minorHAnsi" w:hAnsiTheme="minorHAnsi" w:cs="Segoe UI"/>
            <w:sz w:val="18"/>
            <w:szCs w:val="18"/>
          </w:rPr>
          <w:t>https://doi.org/10.1016/j.envsci.2015.11.005</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3EE2978"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22B9A7C7" w14:textId="754F32C2"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Mees</w:t>
      </w:r>
      <w:proofErr w:type="spellEnd"/>
      <w:r w:rsidRPr="00210EEC">
        <w:rPr>
          <w:rFonts w:asciiTheme="minorHAnsi" w:hAnsiTheme="minorHAnsi" w:cs="Segoe UI"/>
          <w:sz w:val="18"/>
          <w:szCs w:val="18"/>
        </w:rPr>
        <w:t xml:space="preserve">, H.L.P., Dijk, J., van </w:t>
      </w:r>
      <w:proofErr w:type="spellStart"/>
      <w:r w:rsidRPr="00210EEC">
        <w:rPr>
          <w:rFonts w:asciiTheme="minorHAnsi" w:hAnsiTheme="minorHAnsi" w:cs="Segoe UI"/>
          <w:sz w:val="18"/>
          <w:szCs w:val="18"/>
        </w:rPr>
        <w:t>Soest</w:t>
      </w:r>
      <w:proofErr w:type="spellEnd"/>
      <w:r w:rsidRPr="00210EEC">
        <w:rPr>
          <w:rFonts w:asciiTheme="minorHAnsi" w:hAnsiTheme="minorHAnsi" w:cs="Segoe UI"/>
          <w:sz w:val="18"/>
          <w:szCs w:val="18"/>
        </w:rPr>
        <w:t xml:space="preserve">, D., Driessen, P.P.J., van </w:t>
      </w:r>
      <w:proofErr w:type="spellStart"/>
      <w:r w:rsidRPr="00210EEC">
        <w:rPr>
          <w:rFonts w:asciiTheme="minorHAnsi" w:hAnsiTheme="minorHAnsi" w:cs="Segoe UI"/>
          <w:sz w:val="18"/>
          <w:szCs w:val="18"/>
        </w:rPr>
        <w:t>Rijswick</w:t>
      </w:r>
      <w:proofErr w:type="spellEnd"/>
      <w:r w:rsidRPr="00210EEC">
        <w:rPr>
          <w:rFonts w:asciiTheme="minorHAnsi" w:hAnsiTheme="minorHAnsi" w:cs="Segoe UI"/>
          <w:sz w:val="18"/>
          <w:szCs w:val="18"/>
        </w:rPr>
        <w:t xml:space="preserve">, M.H.F.M.W. and </w:t>
      </w:r>
      <w:proofErr w:type="spellStart"/>
      <w:r w:rsidRPr="00210EEC">
        <w:rPr>
          <w:rFonts w:asciiTheme="minorHAnsi" w:hAnsiTheme="minorHAnsi" w:cs="Segoe UI"/>
          <w:sz w:val="18"/>
          <w:szCs w:val="18"/>
        </w:rPr>
        <w:t>Runhaar</w:t>
      </w:r>
      <w:proofErr w:type="spellEnd"/>
      <w:r w:rsidRPr="00210EEC">
        <w:rPr>
          <w:rFonts w:asciiTheme="minorHAnsi" w:hAnsiTheme="minorHAnsi" w:cs="Segoe UI"/>
          <w:sz w:val="18"/>
          <w:szCs w:val="18"/>
        </w:rPr>
        <w:t xml:space="preserve">, H. (2014). A method for the deliberate and deliberative selection of policy instrument mixes for climate change adaptation. </w:t>
      </w:r>
      <w:r w:rsidRPr="00210EEC">
        <w:rPr>
          <w:rFonts w:asciiTheme="minorHAnsi" w:hAnsiTheme="minorHAnsi" w:cs="Segoe UI"/>
          <w:i/>
          <w:iCs/>
          <w:sz w:val="18"/>
          <w:szCs w:val="18"/>
        </w:rPr>
        <w:t>Ecology and Society</w:t>
      </w:r>
      <w:r w:rsidRPr="00210EEC">
        <w:rPr>
          <w:rFonts w:asciiTheme="minorHAnsi" w:hAnsiTheme="minorHAnsi" w:cs="Segoe UI"/>
          <w:sz w:val="18"/>
          <w:szCs w:val="18"/>
        </w:rPr>
        <w:t xml:space="preserve"> 19(2). </w:t>
      </w:r>
      <w:hyperlink r:id="rId96" w:history="1">
        <w:r w:rsidR="00210EEC" w:rsidRPr="003D09EF">
          <w:rPr>
            <w:rStyle w:val="Hyperlink"/>
            <w:rFonts w:asciiTheme="minorHAnsi" w:hAnsiTheme="minorHAnsi" w:cs="Segoe UI"/>
            <w:sz w:val="18"/>
            <w:szCs w:val="18"/>
          </w:rPr>
          <w:t>https://doi.org/10.5751/ES-06639-190258</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7664633"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99FE240" w14:textId="59B08829"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Mickwitz</w:t>
      </w:r>
      <w:proofErr w:type="spellEnd"/>
      <w:r w:rsidRPr="00210EEC">
        <w:rPr>
          <w:rFonts w:asciiTheme="minorHAnsi" w:hAnsiTheme="minorHAnsi" w:cs="Segoe UI"/>
          <w:sz w:val="18"/>
          <w:szCs w:val="18"/>
        </w:rPr>
        <w:t xml:space="preserve">, F.A., Beck, S., Carss, D., Ferrand, N., </w:t>
      </w:r>
      <w:proofErr w:type="spellStart"/>
      <w:r w:rsidRPr="00210EEC">
        <w:rPr>
          <w:rFonts w:asciiTheme="minorHAnsi" w:hAnsiTheme="minorHAnsi" w:cs="Segoe UI"/>
          <w:sz w:val="18"/>
          <w:szCs w:val="18"/>
        </w:rPr>
        <w:t>Görg</w:t>
      </w:r>
      <w:proofErr w:type="spellEnd"/>
      <w:r w:rsidRPr="00210EEC">
        <w:rPr>
          <w:rFonts w:asciiTheme="minorHAnsi" w:hAnsiTheme="minorHAnsi" w:cs="Segoe UI"/>
          <w:sz w:val="18"/>
          <w:szCs w:val="18"/>
        </w:rPr>
        <w:t>, C., Jensen, A.</w:t>
      </w:r>
      <w:r w:rsidRPr="00210EEC">
        <w:rPr>
          <w:rFonts w:asciiTheme="minorHAnsi" w:hAnsiTheme="minorHAnsi" w:cs="Segoe UI"/>
          <w:i/>
          <w:iCs/>
          <w:sz w:val="18"/>
          <w:szCs w:val="18"/>
        </w:rPr>
        <w:t xml:space="preserve"> et al.</w:t>
      </w:r>
      <w:r w:rsidRPr="00210EEC">
        <w:rPr>
          <w:rFonts w:asciiTheme="minorHAnsi" w:hAnsiTheme="minorHAnsi" w:cs="Segoe UI"/>
          <w:sz w:val="18"/>
          <w:szCs w:val="18"/>
        </w:rPr>
        <w:t xml:space="preserve"> (2009). </w:t>
      </w:r>
      <w:r w:rsidRPr="00210EEC">
        <w:rPr>
          <w:rFonts w:asciiTheme="minorHAnsi" w:hAnsiTheme="minorHAnsi" w:cs="Segoe UI"/>
          <w:i/>
          <w:iCs/>
          <w:sz w:val="18"/>
          <w:szCs w:val="18"/>
        </w:rPr>
        <w:t>Climate Policy Integration, Coherence and Governance.</w:t>
      </w:r>
      <w:r w:rsidRPr="00210EEC">
        <w:rPr>
          <w:rFonts w:asciiTheme="minorHAnsi" w:hAnsiTheme="minorHAnsi" w:cs="Segoe UI"/>
          <w:sz w:val="18"/>
          <w:szCs w:val="18"/>
        </w:rPr>
        <w:t xml:space="preserve"> Leipzig: Partnership for European Environmental Research. </w:t>
      </w:r>
      <w:hyperlink r:id="rId97" w:history="1">
        <w:r w:rsidR="00210EEC" w:rsidRPr="003D09EF">
          <w:rPr>
            <w:rStyle w:val="Hyperlink"/>
            <w:rFonts w:asciiTheme="minorHAnsi" w:hAnsiTheme="minorHAnsi" w:cs="Segoe UI"/>
            <w:sz w:val="18"/>
            <w:szCs w:val="18"/>
          </w:rPr>
          <w:t>http://www.peer.eu/publications/climate-policy-integration-coherence-and-governance/</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5B79547"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2EE6B171" w14:textId="29334998"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Miles, E.L., </w:t>
      </w:r>
      <w:proofErr w:type="spellStart"/>
      <w:r w:rsidRPr="00210EEC">
        <w:rPr>
          <w:rFonts w:asciiTheme="minorHAnsi" w:hAnsiTheme="minorHAnsi" w:cs="Segoe UI"/>
          <w:sz w:val="18"/>
          <w:szCs w:val="18"/>
        </w:rPr>
        <w:t>Underdal</w:t>
      </w:r>
      <w:proofErr w:type="spellEnd"/>
      <w:r w:rsidRPr="00210EEC">
        <w:rPr>
          <w:rFonts w:asciiTheme="minorHAnsi" w:hAnsiTheme="minorHAnsi" w:cs="Segoe UI"/>
          <w:sz w:val="18"/>
          <w:szCs w:val="18"/>
        </w:rPr>
        <w:t xml:space="preserve">, A., Andresen, S., </w:t>
      </w:r>
      <w:proofErr w:type="spellStart"/>
      <w:r w:rsidRPr="00210EEC">
        <w:rPr>
          <w:rFonts w:asciiTheme="minorHAnsi" w:hAnsiTheme="minorHAnsi" w:cs="Segoe UI"/>
          <w:sz w:val="18"/>
          <w:szCs w:val="18"/>
        </w:rPr>
        <w:t>Wettestad</w:t>
      </w:r>
      <w:proofErr w:type="spellEnd"/>
      <w:r w:rsidRPr="00210EEC">
        <w:rPr>
          <w:rFonts w:asciiTheme="minorHAnsi" w:hAnsiTheme="minorHAnsi" w:cs="Segoe UI"/>
          <w:sz w:val="18"/>
          <w:szCs w:val="18"/>
        </w:rPr>
        <w:t xml:space="preserve">, J., </w:t>
      </w:r>
      <w:proofErr w:type="spellStart"/>
      <w:r w:rsidRPr="00210EEC">
        <w:rPr>
          <w:rFonts w:asciiTheme="minorHAnsi" w:hAnsiTheme="minorHAnsi" w:cs="Segoe UI"/>
          <w:sz w:val="18"/>
          <w:szCs w:val="18"/>
        </w:rPr>
        <w:t>Skjærseth</w:t>
      </w:r>
      <w:proofErr w:type="spellEnd"/>
      <w:r w:rsidRPr="00210EEC">
        <w:rPr>
          <w:rFonts w:asciiTheme="minorHAnsi" w:hAnsiTheme="minorHAnsi" w:cs="Segoe UI"/>
          <w:sz w:val="18"/>
          <w:szCs w:val="18"/>
        </w:rPr>
        <w:t xml:space="preserve">, J.B. and Carlin, E.M. (2002). </w:t>
      </w:r>
      <w:r w:rsidRPr="00210EEC">
        <w:rPr>
          <w:rFonts w:asciiTheme="minorHAnsi" w:hAnsiTheme="minorHAnsi" w:cs="Segoe UI"/>
          <w:i/>
          <w:iCs/>
          <w:sz w:val="18"/>
          <w:szCs w:val="18"/>
        </w:rPr>
        <w:t>Environmental Regime Effectiveness: Confronting Theory with Evidence.</w:t>
      </w:r>
      <w:r w:rsidRPr="00210EEC">
        <w:rPr>
          <w:rFonts w:asciiTheme="minorHAnsi" w:hAnsiTheme="minorHAnsi" w:cs="Segoe UI"/>
          <w:sz w:val="18"/>
          <w:szCs w:val="18"/>
        </w:rPr>
        <w:t xml:space="preserve"> Cambridge: The MIT Press. </w:t>
      </w:r>
      <w:hyperlink r:id="rId98" w:history="1">
        <w:r w:rsidR="00210EEC" w:rsidRPr="003D09EF">
          <w:rPr>
            <w:rStyle w:val="Hyperlink"/>
            <w:rFonts w:asciiTheme="minorHAnsi" w:hAnsiTheme="minorHAnsi" w:cs="Segoe UI"/>
            <w:sz w:val="18"/>
            <w:szCs w:val="18"/>
          </w:rPr>
          <w:t>https://mitpress.mit.edu/books/environmental-regime-effectiveness</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331FE10"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FEC86A1" w14:textId="4D839833"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lastRenderedPageBreak/>
        <w:t>Milewicz</w:t>
      </w:r>
      <w:proofErr w:type="spellEnd"/>
      <w:r w:rsidRPr="00210EEC">
        <w:rPr>
          <w:rFonts w:asciiTheme="minorHAnsi" w:hAnsiTheme="minorHAnsi" w:cs="Segoe UI"/>
          <w:sz w:val="18"/>
          <w:szCs w:val="18"/>
        </w:rPr>
        <w:t xml:space="preserve">, K., </w:t>
      </w:r>
      <w:proofErr w:type="spellStart"/>
      <w:r w:rsidRPr="00210EEC">
        <w:rPr>
          <w:rFonts w:asciiTheme="minorHAnsi" w:hAnsiTheme="minorHAnsi" w:cs="Segoe UI"/>
          <w:sz w:val="18"/>
          <w:szCs w:val="18"/>
        </w:rPr>
        <w:t>Hollway</w:t>
      </w:r>
      <w:proofErr w:type="spellEnd"/>
      <w:r w:rsidRPr="00210EEC">
        <w:rPr>
          <w:rFonts w:asciiTheme="minorHAnsi" w:hAnsiTheme="minorHAnsi" w:cs="Segoe UI"/>
          <w:sz w:val="18"/>
          <w:szCs w:val="18"/>
        </w:rPr>
        <w:t xml:space="preserve">, J., Peacock, C. and Snidal, D. (2016). Beyond trade: The expanding scope of the nontrade agenda in trade agreements. </w:t>
      </w:r>
      <w:r w:rsidRPr="00210EEC">
        <w:rPr>
          <w:rFonts w:asciiTheme="minorHAnsi" w:hAnsiTheme="minorHAnsi" w:cs="Segoe UI"/>
          <w:i/>
          <w:iCs/>
          <w:sz w:val="18"/>
          <w:szCs w:val="18"/>
        </w:rPr>
        <w:t>Journal of Conflict Resolution</w:t>
      </w:r>
      <w:r w:rsidRPr="00210EEC">
        <w:rPr>
          <w:rFonts w:asciiTheme="minorHAnsi" w:hAnsiTheme="minorHAnsi" w:cs="Segoe UI"/>
          <w:sz w:val="18"/>
          <w:szCs w:val="18"/>
        </w:rPr>
        <w:t xml:space="preserve"> 62(4), 743-773. </w:t>
      </w:r>
      <w:hyperlink r:id="rId99" w:history="1">
        <w:r w:rsidR="00210EEC" w:rsidRPr="003D09EF">
          <w:rPr>
            <w:rStyle w:val="Hyperlink"/>
            <w:rFonts w:asciiTheme="minorHAnsi" w:hAnsiTheme="minorHAnsi" w:cs="Segoe UI"/>
            <w:sz w:val="18"/>
            <w:szCs w:val="18"/>
          </w:rPr>
          <w:t>https://doi.org/10.1177/0022002716662687</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FF587A8"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9622894" w14:textId="39F866E0"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Mitchell, R.B. (2002). </w:t>
      </w:r>
      <w:proofErr w:type="gramStart"/>
      <w:r w:rsidRPr="00210EEC">
        <w:rPr>
          <w:rFonts w:asciiTheme="minorHAnsi" w:hAnsiTheme="minorHAnsi" w:cs="Segoe UI"/>
          <w:sz w:val="18"/>
          <w:szCs w:val="18"/>
        </w:rPr>
        <w:t>Of course</w:t>
      </w:r>
      <w:proofErr w:type="gramEnd"/>
      <w:r w:rsidRPr="00210EEC">
        <w:rPr>
          <w:rFonts w:asciiTheme="minorHAnsi" w:hAnsiTheme="minorHAnsi" w:cs="Segoe UI"/>
          <w:sz w:val="18"/>
          <w:szCs w:val="18"/>
        </w:rPr>
        <w:t xml:space="preserve"> international institutions matter: But when and how? In </w:t>
      </w:r>
      <w:r w:rsidRPr="00210EEC">
        <w:rPr>
          <w:rFonts w:asciiTheme="minorHAnsi" w:hAnsiTheme="minorHAnsi" w:cs="Segoe UI"/>
          <w:i/>
          <w:iCs/>
          <w:sz w:val="18"/>
          <w:szCs w:val="18"/>
        </w:rPr>
        <w:t>How Institutions Change: Perspectives on Social Learning in Global and Local Environmental Contexts.</w:t>
      </w:r>
      <w:r w:rsidRPr="00210EEC">
        <w:rPr>
          <w:rFonts w:asciiTheme="minorHAnsi" w:hAnsiTheme="minorHAnsi" w:cs="Segoe UI"/>
          <w:sz w:val="18"/>
          <w:szCs w:val="18"/>
        </w:rPr>
        <w:t xml:space="preserve"> </w:t>
      </w:r>
      <w:proofErr w:type="spellStart"/>
      <w:r w:rsidRPr="00210EEC">
        <w:rPr>
          <w:rFonts w:asciiTheme="minorHAnsi" w:hAnsiTheme="minorHAnsi" w:cs="Segoe UI"/>
          <w:sz w:val="18"/>
          <w:szCs w:val="18"/>
        </w:rPr>
        <w:t>Breit</w:t>
      </w:r>
      <w:proofErr w:type="spellEnd"/>
      <w:r w:rsidRPr="00210EEC">
        <w:rPr>
          <w:rFonts w:asciiTheme="minorHAnsi" w:hAnsiTheme="minorHAnsi" w:cs="Segoe UI"/>
          <w:sz w:val="18"/>
          <w:szCs w:val="18"/>
        </w:rPr>
        <w:t xml:space="preserve">, H., Engels, A., Moss, T. and </w:t>
      </w:r>
      <w:proofErr w:type="spellStart"/>
      <w:r w:rsidRPr="00210EEC">
        <w:rPr>
          <w:rFonts w:asciiTheme="minorHAnsi" w:hAnsiTheme="minorHAnsi" w:cs="Segoe UI"/>
          <w:sz w:val="18"/>
          <w:szCs w:val="18"/>
        </w:rPr>
        <w:t>Troja</w:t>
      </w:r>
      <w:proofErr w:type="spellEnd"/>
      <w:r w:rsidRPr="00210EEC">
        <w:rPr>
          <w:rFonts w:asciiTheme="minorHAnsi" w:hAnsiTheme="minorHAnsi" w:cs="Segoe UI"/>
          <w:sz w:val="18"/>
          <w:szCs w:val="18"/>
        </w:rPr>
        <w:t xml:space="preserve">, M. (eds.).  Potsdam: VS Verlag </w:t>
      </w:r>
      <w:proofErr w:type="spellStart"/>
      <w:r w:rsidRPr="00210EEC">
        <w:rPr>
          <w:rFonts w:asciiTheme="minorHAnsi" w:hAnsiTheme="minorHAnsi" w:cs="Segoe UI"/>
          <w:sz w:val="18"/>
          <w:szCs w:val="18"/>
        </w:rPr>
        <w:t>für</w:t>
      </w:r>
      <w:proofErr w:type="spellEnd"/>
      <w:r w:rsidRPr="00210EEC">
        <w:rPr>
          <w:rFonts w:asciiTheme="minorHAnsi" w:hAnsiTheme="minorHAnsi" w:cs="Segoe UI"/>
          <w:sz w:val="18"/>
          <w:szCs w:val="18"/>
        </w:rPr>
        <w:t xml:space="preserve"> </w:t>
      </w:r>
      <w:proofErr w:type="spellStart"/>
      <w:r w:rsidRPr="00210EEC">
        <w:rPr>
          <w:rFonts w:asciiTheme="minorHAnsi" w:hAnsiTheme="minorHAnsi" w:cs="Segoe UI"/>
          <w:sz w:val="18"/>
          <w:szCs w:val="18"/>
        </w:rPr>
        <w:t>Sozialwissenschaften</w:t>
      </w:r>
      <w:proofErr w:type="spellEnd"/>
      <w:r w:rsidRPr="00210EEC">
        <w:rPr>
          <w:rFonts w:asciiTheme="minorHAnsi" w:hAnsiTheme="minorHAnsi" w:cs="Segoe UI"/>
          <w:sz w:val="18"/>
          <w:szCs w:val="18"/>
        </w:rPr>
        <w:t xml:space="preserve">. 35-52. </w:t>
      </w:r>
      <w:hyperlink r:id="rId100" w:history="1">
        <w:r w:rsidR="00210EEC" w:rsidRPr="003D09EF">
          <w:rPr>
            <w:rStyle w:val="Hyperlink"/>
            <w:rFonts w:asciiTheme="minorHAnsi" w:hAnsiTheme="minorHAnsi" w:cs="Segoe UI"/>
            <w:sz w:val="18"/>
            <w:szCs w:val="18"/>
          </w:rPr>
          <w:t>https://link.springer.com/chapter/10.1007/978-3-322-80936-0_5</w:t>
        </w:r>
      </w:hyperlink>
      <w:r w:rsidR="00210EEC">
        <w:rPr>
          <w:rFonts w:asciiTheme="minorHAnsi" w:hAnsiTheme="minorHAnsi" w:cs="Segoe UI"/>
          <w:sz w:val="18"/>
          <w:szCs w:val="18"/>
        </w:rPr>
        <w:t xml:space="preserve"> </w:t>
      </w:r>
    </w:p>
    <w:p w14:paraId="15BB62A7"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0C44C93" w14:textId="344C149A"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Mitchell, R.B. (2009). </w:t>
      </w:r>
      <w:r w:rsidRPr="00210EEC">
        <w:rPr>
          <w:rFonts w:asciiTheme="minorHAnsi" w:hAnsiTheme="minorHAnsi" w:cs="Segoe UI"/>
          <w:i/>
          <w:iCs/>
          <w:sz w:val="18"/>
          <w:szCs w:val="18"/>
        </w:rPr>
        <w:t>International Politics and the Environment.</w:t>
      </w:r>
      <w:r w:rsidRPr="00210EEC">
        <w:rPr>
          <w:rFonts w:asciiTheme="minorHAnsi" w:hAnsiTheme="minorHAnsi" w:cs="Segoe UI"/>
          <w:sz w:val="18"/>
          <w:szCs w:val="18"/>
        </w:rPr>
        <w:t xml:space="preserve"> </w:t>
      </w:r>
      <w:proofErr w:type="spellStart"/>
      <w:r w:rsidRPr="00210EEC">
        <w:rPr>
          <w:rFonts w:asciiTheme="minorHAnsi" w:hAnsiTheme="minorHAnsi" w:cs="Segoe UI"/>
          <w:sz w:val="18"/>
          <w:szCs w:val="18"/>
        </w:rPr>
        <w:t>Carlsnaes</w:t>
      </w:r>
      <w:proofErr w:type="spellEnd"/>
      <w:r w:rsidRPr="00210EEC">
        <w:rPr>
          <w:rFonts w:asciiTheme="minorHAnsi" w:hAnsiTheme="minorHAnsi" w:cs="Segoe UI"/>
          <w:sz w:val="18"/>
          <w:szCs w:val="18"/>
        </w:rPr>
        <w:t xml:space="preserve">, W. and </w:t>
      </w:r>
      <w:proofErr w:type="spellStart"/>
      <w:r w:rsidRPr="00210EEC">
        <w:rPr>
          <w:rFonts w:asciiTheme="minorHAnsi" w:hAnsiTheme="minorHAnsi" w:cs="Segoe UI"/>
          <w:sz w:val="18"/>
          <w:szCs w:val="18"/>
        </w:rPr>
        <w:t>Checkel</w:t>
      </w:r>
      <w:proofErr w:type="spellEnd"/>
      <w:r w:rsidRPr="00210EEC">
        <w:rPr>
          <w:rFonts w:asciiTheme="minorHAnsi" w:hAnsiTheme="minorHAnsi" w:cs="Segoe UI"/>
          <w:sz w:val="18"/>
          <w:szCs w:val="18"/>
        </w:rPr>
        <w:t xml:space="preserve">, J.T. (eds.). London: SAGE Publications. </w:t>
      </w:r>
      <w:hyperlink r:id="rId101" w:history="1">
        <w:r w:rsidR="00210EEC" w:rsidRPr="003D09EF">
          <w:rPr>
            <w:rStyle w:val="Hyperlink"/>
            <w:rFonts w:asciiTheme="minorHAnsi" w:hAnsiTheme="minorHAnsi" w:cs="Segoe UI"/>
            <w:sz w:val="18"/>
            <w:szCs w:val="18"/>
          </w:rPr>
          <w:t>http://uk.sagepub.com/en-gb/eur/international-politics-and-the-environment/book228800</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5BA8E2E"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0ED27F8" w14:textId="79F68091"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Mitchell, R.B. and </w:t>
      </w:r>
      <w:proofErr w:type="spellStart"/>
      <w:r w:rsidRPr="00210EEC">
        <w:rPr>
          <w:rFonts w:asciiTheme="minorHAnsi" w:hAnsiTheme="minorHAnsi" w:cs="Segoe UI"/>
          <w:sz w:val="18"/>
          <w:szCs w:val="18"/>
        </w:rPr>
        <w:t>Keilbach</w:t>
      </w:r>
      <w:proofErr w:type="spellEnd"/>
      <w:r w:rsidRPr="00210EEC">
        <w:rPr>
          <w:rFonts w:asciiTheme="minorHAnsi" w:hAnsiTheme="minorHAnsi" w:cs="Segoe UI"/>
          <w:sz w:val="18"/>
          <w:szCs w:val="18"/>
        </w:rPr>
        <w:t xml:space="preserve">, P.M. (2001). Situation structure and institutional design: Reciprocity, coercion, and exchange. </w:t>
      </w:r>
      <w:r w:rsidRPr="00210EEC">
        <w:rPr>
          <w:rFonts w:asciiTheme="minorHAnsi" w:hAnsiTheme="minorHAnsi" w:cs="Segoe UI"/>
          <w:i/>
          <w:iCs/>
          <w:sz w:val="18"/>
          <w:szCs w:val="18"/>
        </w:rPr>
        <w:t>International Organization</w:t>
      </w:r>
      <w:r w:rsidRPr="00210EEC">
        <w:rPr>
          <w:rFonts w:asciiTheme="minorHAnsi" w:hAnsiTheme="minorHAnsi" w:cs="Segoe UI"/>
          <w:sz w:val="18"/>
          <w:szCs w:val="18"/>
        </w:rPr>
        <w:t xml:space="preserve"> 55(4), 891-917. </w:t>
      </w:r>
      <w:hyperlink r:id="rId102" w:history="1">
        <w:r w:rsidR="00210EEC" w:rsidRPr="003D09EF">
          <w:rPr>
            <w:rStyle w:val="Hyperlink"/>
            <w:rFonts w:asciiTheme="minorHAnsi" w:hAnsiTheme="minorHAnsi" w:cs="Segoe UI"/>
            <w:sz w:val="18"/>
            <w:szCs w:val="18"/>
          </w:rPr>
          <w:t>https://doi.org/10.1162/002081801317193637</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52323D9"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022EBA4" w14:textId="5BF0A71C"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Morgan, R.K. (2012). Environmental impact assessment: The state of the art. </w:t>
      </w:r>
      <w:r w:rsidRPr="00210EEC">
        <w:rPr>
          <w:rFonts w:asciiTheme="minorHAnsi" w:hAnsiTheme="minorHAnsi" w:cs="Segoe UI"/>
          <w:i/>
          <w:iCs/>
          <w:sz w:val="18"/>
          <w:szCs w:val="18"/>
        </w:rPr>
        <w:t>Impact Assessment and Project Appraisal</w:t>
      </w:r>
      <w:r w:rsidRPr="00210EEC">
        <w:rPr>
          <w:rFonts w:asciiTheme="minorHAnsi" w:hAnsiTheme="minorHAnsi" w:cs="Segoe UI"/>
          <w:sz w:val="18"/>
          <w:szCs w:val="18"/>
        </w:rPr>
        <w:t xml:space="preserve"> 30(1), 5-14. </w:t>
      </w:r>
      <w:hyperlink r:id="rId103" w:history="1">
        <w:r w:rsidR="00210EEC" w:rsidRPr="003D09EF">
          <w:rPr>
            <w:rStyle w:val="Hyperlink"/>
            <w:rFonts w:asciiTheme="minorHAnsi" w:hAnsiTheme="minorHAnsi" w:cs="Segoe UI"/>
            <w:sz w:val="18"/>
            <w:szCs w:val="18"/>
          </w:rPr>
          <w:t>https://doi.org/10.1080/14615517.2012.661557</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6B6A1B5"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7668043" w14:textId="50A7AE24"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Morin, J.-F., </w:t>
      </w:r>
      <w:proofErr w:type="spellStart"/>
      <w:r w:rsidRPr="00210EEC">
        <w:rPr>
          <w:rFonts w:asciiTheme="minorHAnsi" w:hAnsiTheme="minorHAnsi" w:cs="Segoe UI"/>
          <w:sz w:val="18"/>
          <w:szCs w:val="18"/>
        </w:rPr>
        <w:t>Pauwelyn</w:t>
      </w:r>
      <w:proofErr w:type="spellEnd"/>
      <w:r w:rsidRPr="00210EEC">
        <w:rPr>
          <w:rFonts w:asciiTheme="minorHAnsi" w:hAnsiTheme="minorHAnsi" w:cs="Segoe UI"/>
          <w:sz w:val="18"/>
          <w:szCs w:val="18"/>
        </w:rPr>
        <w:t xml:space="preserve">, J. and </w:t>
      </w:r>
      <w:proofErr w:type="spellStart"/>
      <w:r w:rsidRPr="00210EEC">
        <w:rPr>
          <w:rFonts w:asciiTheme="minorHAnsi" w:hAnsiTheme="minorHAnsi" w:cs="Segoe UI"/>
          <w:sz w:val="18"/>
          <w:szCs w:val="18"/>
        </w:rPr>
        <w:t>Hollway</w:t>
      </w:r>
      <w:proofErr w:type="spellEnd"/>
      <w:r w:rsidRPr="00210EEC">
        <w:rPr>
          <w:rFonts w:asciiTheme="minorHAnsi" w:hAnsiTheme="minorHAnsi" w:cs="Segoe UI"/>
          <w:sz w:val="18"/>
          <w:szCs w:val="18"/>
        </w:rPr>
        <w:t xml:space="preserve">, J. (2017). The trade regime as a complex adaptive system: Exploration and exploitation of environmental norms in trade agreements. </w:t>
      </w:r>
      <w:r w:rsidRPr="00210EEC">
        <w:rPr>
          <w:rFonts w:asciiTheme="minorHAnsi" w:hAnsiTheme="minorHAnsi" w:cs="Segoe UI"/>
          <w:i/>
          <w:iCs/>
          <w:sz w:val="18"/>
          <w:szCs w:val="18"/>
        </w:rPr>
        <w:t>Journal of International Economic Law</w:t>
      </w:r>
      <w:r w:rsidRPr="00210EEC">
        <w:rPr>
          <w:rFonts w:asciiTheme="minorHAnsi" w:hAnsiTheme="minorHAnsi" w:cs="Segoe UI"/>
          <w:sz w:val="18"/>
          <w:szCs w:val="18"/>
        </w:rPr>
        <w:t xml:space="preserve"> 20(2), 365-390. </w:t>
      </w:r>
      <w:hyperlink r:id="rId104" w:history="1">
        <w:r w:rsidR="00210EEC" w:rsidRPr="003D09EF">
          <w:rPr>
            <w:rStyle w:val="Hyperlink"/>
            <w:rFonts w:asciiTheme="minorHAnsi" w:hAnsiTheme="minorHAnsi" w:cs="Segoe UI"/>
            <w:sz w:val="18"/>
            <w:szCs w:val="18"/>
          </w:rPr>
          <w:t>https://doi.org/10.2139/ssrn.3008543</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2535497"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1E12549" w14:textId="6D2549FF"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Mullally</w:t>
      </w:r>
      <w:proofErr w:type="spellEnd"/>
      <w:r w:rsidRPr="00210EEC">
        <w:rPr>
          <w:rFonts w:asciiTheme="minorHAnsi" w:hAnsiTheme="minorHAnsi" w:cs="Segoe UI"/>
          <w:sz w:val="18"/>
          <w:szCs w:val="18"/>
        </w:rPr>
        <w:t xml:space="preserve">, G. and Dunphy, N.P. (2015). </w:t>
      </w:r>
      <w:r w:rsidRPr="00210EEC">
        <w:rPr>
          <w:rFonts w:asciiTheme="minorHAnsi" w:hAnsiTheme="minorHAnsi" w:cs="Segoe UI"/>
          <w:i/>
          <w:iCs/>
          <w:sz w:val="18"/>
          <w:szCs w:val="18"/>
        </w:rPr>
        <w:t>State of Play: Review of Environmental Policy Integration Literature.</w:t>
      </w:r>
      <w:r w:rsidRPr="00210EEC">
        <w:rPr>
          <w:rFonts w:asciiTheme="minorHAnsi" w:hAnsiTheme="minorHAnsi" w:cs="Segoe UI"/>
          <w:sz w:val="18"/>
          <w:szCs w:val="18"/>
        </w:rPr>
        <w:t xml:space="preserve"> National Economic and Social Council (NESC). </w:t>
      </w:r>
      <w:hyperlink r:id="rId105" w:history="1">
        <w:r w:rsidR="00210EEC" w:rsidRPr="003D09EF">
          <w:rPr>
            <w:rStyle w:val="Hyperlink"/>
            <w:rFonts w:asciiTheme="minorHAnsi" w:hAnsiTheme="minorHAnsi" w:cs="Segoe UI"/>
            <w:sz w:val="18"/>
            <w:szCs w:val="18"/>
          </w:rPr>
          <w:t>http://files.nesc.ie/nesc_research_series/Research_Series_Paper_7_UCC.pdf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56021E2"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400B611" w14:textId="5182EAE3"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Nachmany</w:t>
      </w:r>
      <w:proofErr w:type="spellEnd"/>
      <w:r w:rsidRPr="00210EEC">
        <w:rPr>
          <w:rFonts w:asciiTheme="minorHAnsi" w:hAnsiTheme="minorHAnsi" w:cs="Segoe UI"/>
          <w:sz w:val="18"/>
          <w:szCs w:val="18"/>
        </w:rPr>
        <w:t xml:space="preserve">, M., Fankhauser, S., Setzer, J. and </w:t>
      </w:r>
      <w:proofErr w:type="spellStart"/>
      <w:r w:rsidRPr="00210EEC">
        <w:rPr>
          <w:rFonts w:asciiTheme="minorHAnsi" w:hAnsiTheme="minorHAnsi" w:cs="Segoe UI"/>
          <w:sz w:val="18"/>
          <w:szCs w:val="18"/>
        </w:rPr>
        <w:t>Averchenkova</w:t>
      </w:r>
      <w:proofErr w:type="spellEnd"/>
      <w:r w:rsidRPr="00210EEC">
        <w:rPr>
          <w:rFonts w:asciiTheme="minorHAnsi" w:hAnsiTheme="minorHAnsi" w:cs="Segoe UI"/>
          <w:sz w:val="18"/>
          <w:szCs w:val="18"/>
        </w:rPr>
        <w:t xml:space="preserve">, A. (2017). </w:t>
      </w:r>
      <w:r w:rsidRPr="00210EEC">
        <w:rPr>
          <w:rFonts w:asciiTheme="minorHAnsi" w:hAnsiTheme="minorHAnsi" w:cs="Segoe UI"/>
          <w:i/>
          <w:iCs/>
          <w:sz w:val="18"/>
          <w:szCs w:val="18"/>
        </w:rPr>
        <w:t>Global Trends in Climate Change Legislation and Litigation: 2017 Update.</w:t>
      </w:r>
      <w:r w:rsidRPr="00210EEC">
        <w:rPr>
          <w:rFonts w:asciiTheme="minorHAnsi" w:hAnsiTheme="minorHAnsi" w:cs="Segoe UI"/>
          <w:sz w:val="18"/>
          <w:szCs w:val="18"/>
        </w:rPr>
        <w:t xml:space="preserve"> London: Grantham Research Institute on Climate Change and the Environment. </w:t>
      </w:r>
      <w:hyperlink r:id="rId106" w:history="1">
        <w:r w:rsidR="00210EEC" w:rsidRPr="003D09EF">
          <w:rPr>
            <w:rStyle w:val="Hyperlink"/>
            <w:rFonts w:asciiTheme="minorHAnsi" w:hAnsiTheme="minorHAnsi" w:cs="Segoe UI"/>
            <w:sz w:val="18"/>
            <w:szCs w:val="18"/>
          </w:rPr>
          <w:t>http://www.lse.ac.uk/GranthamInstitute/wp-content/uploads/2017/04/Global-trends-in-climate-change-legislation-and-litigation-WEB.pdf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A558849"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E5A37C0" w14:textId="33864928"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Nasiritousi</w:t>
      </w:r>
      <w:proofErr w:type="spellEnd"/>
      <w:r w:rsidRPr="00210EEC">
        <w:rPr>
          <w:rFonts w:asciiTheme="minorHAnsi" w:hAnsiTheme="minorHAnsi" w:cs="Segoe UI"/>
          <w:sz w:val="18"/>
          <w:szCs w:val="18"/>
        </w:rPr>
        <w:t xml:space="preserve">, N., </w:t>
      </w:r>
      <w:proofErr w:type="spellStart"/>
      <w:r w:rsidRPr="00210EEC">
        <w:rPr>
          <w:rFonts w:asciiTheme="minorHAnsi" w:hAnsiTheme="minorHAnsi" w:cs="Segoe UI"/>
          <w:sz w:val="18"/>
          <w:szCs w:val="18"/>
        </w:rPr>
        <w:t>Hjerpe</w:t>
      </w:r>
      <w:proofErr w:type="spellEnd"/>
      <w:r w:rsidRPr="00210EEC">
        <w:rPr>
          <w:rFonts w:asciiTheme="minorHAnsi" w:hAnsiTheme="minorHAnsi" w:cs="Segoe UI"/>
          <w:sz w:val="18"/>
          <w:szCs w:val="18"/>
        </w:rPr>
        <w:t xml:space="preserve">, M. and </w:t>
      </w:r>
      <w:proofErr w:type="spellStart"/>
      <w:r w:rsidRPr="00210EEC">
        <w:rPr>
          <w:rFonts w:asciiTheme="minorHAnsi" w:hAnsiTheme="minorHAnsi" w:cs="Segoe UI"/>
          <w:sz w:val="18"/>
          <w:szCs w:val="18"/>
        </w:rPr>
        <w:t>Linnér</w:t>
      </w:r>
      <w:proofErr w:type="spellEnd"/>
      <w:r w:rsidRPr="00210EEC">
        <w:rPr>
          <w:rFonts w:asciiTheme="minorHAnsi" w:hAnsiTheme="minorHAnsi" w:cs="Segoe UI"/>
          <w:sz w:val="18"/>
          <w:szCs w:val="18"/>
        </w:rPr>
        <w:t xml:space="preserve">, B.O. (2016). The roles of non-state actors in climate change governance: Understanding agency through governance profiles. </w:t>
      </w:r>
      <w:r w:rsidRPr="00210EEC">
        <w:rPr>
          <w:rFonts w:asciiTheme="minorHAnsi" w:hAnsiTheme="minorHAnsi" w:cs="Segoe UI"/>
          <w:i/>
          <w:iCs/>
          <w:sz w:val="18"/>
          <w:szCs w:val="18"/>
        </w:rPr>
        <w:t>International Environmental Agreements: Politics, Law and Economics</w:t>
      </w:r>
      <w:r w:rsidRPr="00210EEC">
        <w:rPr>
          <w:rFonts w:asciiTheme="minorHAnsi" w:hAnsiTheme="minorHAnsi" w:cs="Segoe UI"/>
          <w:sz w:val="18"/>
          <w:szCs w:val="18"/>
        </w:rPr>
        <w:t xml:space="preserve"> 16(1), 109-126. </w:t>
      </w:r>
      <w:hyperlink r:id="rId107" w:history="1">
        <w:r w:rsidR="00210EEC" w:rsidRPr="003D09EF">
          <w:rPr>
            <w:rStyle w:val="Hyperlink"/>
            <w:rFonts w:asciiTheme="minorHAnsi" w:hAnsiTheme="minorHAnsi" w:cs="Segoe UI"/>
            <w:sz w:val="18"/>
            <w:szCs w:val="18"/>
          </w:rPr>
          <w:t>https://doi.org/10.1007/s10784-014-9243-8</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619BBC9"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445CB62" w14:textId="0981CEA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Niles, M.T. and </w:t>
      </w:r>
      <w:proofErr w:type="spellStart"/>
      <w:r w:rsidRPr="00210EEC">
        <w:rPr>
          <w:rFonts w:asciiTheme="minorHAnsi" w:hAnsiTheme="minorHAnsi" w:cs="Segoe UI"/>
          <w:sz w:val="18"/>
          <w:szCs w:val="18"/>
        </w:rPr>
        <w:t>Lubell</w:t>
      </w:r>
      <w:proofErr w:type="spellEnd"/>
      <w:r w:rsidRPr="00210EEC">
        <w:rPr>
          <w:rFonts w:asciiTheme="minorHAnsi" w:hAnsiTheme="minorHAnsi" w:cs="Segoe UI"/>
          <w:sz w:val="18"/>
          <w:szCs w:val="18"/>
        </w:rPr>
        <w:t xml:space="preserve">, M. (2012). Integrative frontiers in environmental policy theory and research. </w:t>
      </w:r>
      <w:r w:rsidRPr="00210EEC">
        <w:rPr>
          <w:rFonts w:asciiTheme="minorHAnsi" w:hAnsiTheme="minorHAnsi" w:cs="Segoe UI"/>
          <w:i/>
          <w:iCs/>
          <w:sz w:val="18"/>
          <w:szCs w:val="18"/>
        </w:rPr>
        <w:t>Policy Studies Journal</w:t>
      </w:r>
      <w:r w:rsidRPr="00210EEC">
        <w:rPr>
          <w:rFonts w:asciiTheme="minorHAnsi" w:hAnsiTheme="minorHAnsi" w:cs="Segoe UI"/>
          <w:sz w:val="18"/>
          <w:szCs w:val="18"/>
        </w:rPr>
        <w:t xml:space="preserve"> 40(s1), 41-64. </w:t>
      </w:r>
      <w:hyperlink r:id="rId108" w:history="1">
        <w:r w:rsidR="00210EEC" w:rsidRPr="003D09EF">
          <w:rPr>
            <w:rStyle w:val="Hyperlink"/>
            <w:rFonts w:asciiTheme="minorHAnsi" w:hAnsiTheme="minorHAnsi" w:cs="Segoe UI"/>
            <w:sz w:val="18"/>
            <w:szCs w:val="18"/>
          </w:rPr>
          <w:t>https://doi.org/10.1111/j.1541-0072.2012.00445.x</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49865BD"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583D64E" w14:textId="65B07678"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Nilsson, M. and Persson, Å. (2017). Policy note: Lessons from environmental policy integration for the implementation of the 2030 Agenda. </w:t>
      </w:r>
      <w:r w:rsidRPr="00210EEC">
        <w:rPr>
          <w:rFonts w:asciiTheme="minorHAnsi" w:hAnsiTheme="minorHAnsi" w:cs="Segoe UI"/>
          <w:i/>
          <w:iCs/>
          <w:sz w:val="18"/>
          <w:szCs w:val="18"/>
        </w:rPr>
        <w:t>Environmental Science &amp; Policy</w:t>
      </w:r>
      <w:r w:rsidRPr="00210EEC">
        <w:rPr>
          <w:rFonts w:asciiTheme="minorHAnsi" w:hAnsiTheme="minorHAnsi" w:cs="Segoe UI"/>
          <w:sz w:val="18"/>
          <w:szCs w:val="18"/>
        </w:rPr>
        <w:t xml:space="preserve"> 78, 36-39. </w:t>
      </w:r>
      <w:hyperlink r:id="rId109" w:history="1">
        <w:r w:rsidR="00210EEC" w:rsidRPr="003D09EF">
          <w:rPr>
            <w:rStyle w:val="Hyperlink"/>
            <w:rFonts w:asciiTheme="minorHAnsi" w:hAnsiTheme="minorHAnsi" w:cs="Segoe UI"/>
            <w:sz w:val="18"/>
            <w:szCs w:val="18"/>
          </w:rPr>
          <w:t>https://doi.org/10.1016/j.envsci.2017.09.003</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DC15596"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CFD40DF" w14:textId="757C6BC9"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Nilsson, M., </w:t>
      </w:r>
      <w:proofErr w:type="spellStart"/>
      <w:r w:rsidRPr="00210EEC">
        <w:rPr>
          <w:rFonts w:asciiTheme="minorHAnsi" w:hAnsiTheme="minorHAnsi" w:cs="Segoe UI"/>
          <w:sz w:val="18"/>
          <w:szCs w:val="18"/>
        </w:rPr>
        <w:t>Zamparutti</w:t>
      </w:r>
      <w:proofErr w:type="spellEnd"/>
      <w:r w:rsidRPr="00210EEC">
        <w:rPr>
          <w:rFonts w:asciiTheme="minorHAnsi" w:hAnsiTheme="minorHAnsi" w:cs="Segoe UI"/>
          <w:sz w:val="18"/>
          <w:szCs w:val="18"/>
        </w:rPr>
        <w:t xml:space="preserve">, T., Petersen, J.E., </w:t>
      </w:r>
      <w:proofErr w:type="spellStart"/>
      <w:r w:rsidRPr="00210EEC">
        <w:rPr>
          <w:rFonts w:asciiTheme="minorHAnsi" w:hAnsiTheme="minorHAnsi" w:cs="Segoe UI"/>
          <w:sz w:val="18"/>
          <w:szCs w:val="18"/>
        </w:rPr>
        <w:t>Nykvist</w:t>
      </w:r>
      <w:proofErr w:type="spellEnd"/>
      <w:r w:rsidRPr="00210EEC">
        <w:rPr>
          <w:rFonts w:asciiTheme="minorHAnsi" w:hAnsiTheme="minorHAnsi" w:cs="Segoe UI"/>
          <w:sz w:val="18"/>
          <w:szCs w:val="18"/>
        </w:rPr>
        <w:t xml:space="preserve">, B., </w:t>
      </w:r>
      <w:proofErr w:type="spellStart"/>
      <w:r w:rsidRPr="00210EEC">
        <w:rPr>
          <w:rFonts w:asciiTheme="minorHAnsi" w:hAnsiTheme="minorHAnsi" w:cs="Segoe UI"/>
          <w:sz w:val="18"/>
          <w:szCs w:val="18"/>
        </w:rPr>
        <w:t>Rudberg</w:t>
      </w:r>
      <w:proofErr w:type="spellEnd"/>
      <w:r w:rsidRPr="00210EEC">
        <w:rPr>
          <w:rFonts w:asciiTheme="minorHAnsi" w:hAnsiTheme="minorHAnsi" w:cs="Segoe UI"/>
          <w:sz w:val="18"/>
          <w:szCs w:val="18"/>
        </w:rPr>
        <w:t xml:space="preserve">, P. and McGuinn, J. (2012). Understanding policy coherence: Analytical framework and examples of sector-environment policy interactions in the EU. </w:t>
      </w:r>
      <w:r w:rsidRPr="00210EEC">
        <w:rPr>
          <w:rFonts w:asciiTheme="minorHAnsi" w:hAnsiTheme="minorHAnsi" w:cs="Segoe UI"/>
          <w:i/>
          <w:iCs/>
          <w:sz w:val="18"/>
          <w:szCs w:val="18"/>
        </w:rPr>
        <w:t>Environmental Policy and Governance</w:t>
      </w:r>
      <w:r w:rsidRPr="00210EEC">
        <w:rPr>
          <w:rFonts w:asciiTheme="minorHAnsi" w:hAnsiTheme="minorHAnsi" w:cs="Segoe UI"/>
          <w:sz w:val="18"/>
          <w:szCs w:val="18"/>
        </w:rPr>
        <w:t xml:space="preserve"> 22(6), 395-423. </w:t>
      </w:r>
      <w:hyperlink r:id="rId110" w:history="1">
        <w:r w:rsidR="00210EEC" w:rsidRPr="003D09EF">
          <w:rPr>
            <w:rStyle w:val="Hyperlink"/>
            <w:rFonts w:asciiTheme="minorHAnsi" w:hAnsiTheme="minorHAnsi" w:cs="Segoe UI"/>
            <w:sz w:val="18"/>
            <w:szCs w:val="18"/>
          </w:rPr>
          <w:t>https://doi.org/10.1002/eet.1589</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AAE7BA2"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2C9E0C5" w14:textId="4B54C905"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Oberthür</w:t>
      </w:r>
      <w:proofErr w:type="spellEnd"/>
      <w:r w:rsidRPr="00210EEC">
        <w:rPr>
          <w:rFonts w:asciiTheme="minorHAnsi" w:hAnsiTheme="minorHAnsi" w:cs="Segoe UI"/>
          <w:sz w:val="18"/>
          <w:szCs w:val="18"/>
        </w:rPr>
        <w:t xml:space="preserve">, S. (2009). Interplay management: Enhancing environmental policy integration among international institutions. </w:t>
      </w:r>
      <w:r w:rsidRPr="00210EEC">
        <w:rPr>
          <w:rFonts w:asciiTheme="minorHAnsi" w:hAnsiTheme="minorHAnsi" w:cs="Segoe UI"/>
          <w:i/>
          <w:iCs/>
          <w:sz w:val="18"/>
          <w:szCs w:val="18"/>
        </w:rPr>
        <w:t>International Environmental Agreements: Politics, Law and Economics</w:t>
      </w:r>
      <w:r w:rsidRPr="00210EEC">
        <w:rPr>
          <w:rFonts w:asciiTheme="minorHAnsi" w:hAnsiTheme="minorHAnsi" w:cs="Segoe UI"/>
          <w:sz w:val="18"/>
          <w:szCs w:val="18"/>
        </w:rPr>
        <w:t xml:space="preserve"> 9(4), 371-391. </w:t>
      </w:r>
      <w:hyperlink r:id="rId111" w:history="1">
        <w:r w:rsidR="00210EEC" w:rsidRPr="003D09EF">
          <w:rPr>
            <w:rStyle w:val="Hyperlink"/>
            <w:rFonts w:asciiTheme="minorHAnsi" w:hAnsiTheme="minorHAnsi" w:cs="Segoe UI"/>
            <w:sz w:val="18"/>
            <w:szCs w:val="18"/>
          </w:rPr>
          <w:t>https://doi.org/10.1007/s10784-009-9109-7</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5C0ED7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5639B12" w14:textId="65C527B8"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Oberthür</w:t>
      </w:r>
      <w:proofErr w:type="spellEnd"/>
      <w:r w:rsidRPr="00210EEC">
        <w:rPr>
          <w:rFonts w:asciiTheme="minorHAnsi" w:hAnsiTheme="minorHAnsi" w:cs="Segoe UI"/>
          <w:sz w:val="18"/>
          <w:szCs w:val="18"/>
        </w:rPr>
        <w:t xml:space="preserve">, S. and </w:t>
      </w:r>
      <w:proofErr w:type="spellStart"/>
      <w:r w:rsidRPr="00210EEC">
        <w:rPr>
          <w:rFonts w:asciiTheme="minorHAnsi" w:hAnsiTheme="minorHAnsi" w:cs="Segoe UI"/>
          <w:sz w:val="18"/>
          <w:szCs w:val="18"/>
        </w:rPr>
        <w:t>Stokke</w:t>
      </w:r>
      <w:proofErr w:type="spellEnd"/>
      <w:r w:rsidRPr="00210EEC">
        <w:rPr>
          <w:rFonts w:asciiTheme="minorHAnsi" w:hAnsiTheme="minorHAnsi" w:cs="Segoe UI"/>
          <w:sz w:val="18"/>
          <w:szCs w:val="18"/>
        </w:rPr>
        <w:t xml:space="preserve">, O.S. (eds.) (2011). </w:t>
      </w:r>
      <w:r w:rsidRPr="00210EEC">
        <w:rPr>
          <w:rFonts w:asciiTheme="minorHAnsi" w:hAnsiTheme="minorHAnsi" w:cs="Segoe UI"/>
          <w:i/>
          <w:iCs/>
          <w:sz w:val="18"/>
          <w:szCs w:val="18"/>
        </w:rPr>
        <w:t>Managing Institutional Complexity: Regime Interplay and Global Environmental Change</w:t>
      </w:r>
      <w:r w:rsidRPr="00210EEC">
        <w:rPr>
          <w:rFonts w:asciiTheme="minorHAnsi" w:hAnsiTheme="minorHAnsi" w:cs="Segoe UI"/>
          <w:sz w:val="18"/>
          <w:szCs w:val="18"/>
        </w:rPr>
        <w:t xml:space="preserve">. Cambridge, MA: MIT Press. </w:t>
      </w:r>
      <w:hyperlink r:id="rId112" w:history="1">
        <w:r w:rsidR="00210EEC" w:rsidRPr="003D09EF">
          <w:rPr>
            <w:rStyle w:val="Hyperlink"/>
            <w:rFonts w:asciiTheme="minorHAnsi" w:hAnsiTheme="minorHAnsi" w:cs="Segoe UI"/>
            <w:sz w:val="18"/>
            <w:szCs w:val="18"/>
          </w:rPr>
          <w:t>https://mitpress.mit.edu/books/managing-institutional-complexity</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940C008"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413B91D" w14:textId="71D74839"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Organization for Economic Co-operation and Development (2008). </w:t>
      </w:r>
      <w:r w:rsidRPr="00210EEC">
        <w:rPr>
          <w:rFonts w:asciiTheme="minorHAnsi" w:hAnsiTheme="minorHAnsi" w:cs="Segoe UI"/>
          <w:i/>
          <w:iCs/>
          <w:sz w:val="18"/>
          <w:szCs w:val="18"/>
        </w:rPr>
        <w:t>Introductory Handbook for Undertaking Regulatory Impact Analysis (RIA).</w:t>
      </w:r>
      <w:r w:rsidRPr="00210EEC">
        <w:rPr>
          <w:rFonts w:asciiTheme="minorHAnsi" w:hAnsiTheme="minorHAnsi" w:cs="Segoe UI"/>
          <w:sz w:val="18"/>
          <w:szCs w:val="18"/>
        </w:rPr>
        <w:t xml:space="preserve"> Paris: Organization for Economic Co-operation and Development. </w:t>
      </w:r>
      <w:hyperlink r:id="rId113" w:history="1">
        <w:r w:rsidR="00210EEC" w:rsidRPr="003D09EF">
          <w:rPr>
            <w:rStyle w:val="Hyperlink"/>
            <w:rFonts w:asciiTheme="minorHAnsi" w:hAnsiTheme="minorHAnsi" w:cs="Segoe UI"/>
            <w:sz w:val="18"/>
            <w:szCs w:val="18"/>
          </w:rPr>
          <w:t>https://www.oecd.org/gov/regulatory-policy/44789472.pdf</w:t>
        </w:r>
      </w:hyperlink>
      <w:r w:rsidR="00210EEC">
        <w:rPr>
          <w:rFonts w:asciiTheme="minorHAnsi" w:hAnsiTheme="minorHAnsi" w:cs="Segoe UI"/>
          <w:sz w:val="18"/>
          <w:szCs w:val="18"/>
        </w:rPr>
        <w:t xml:space="preserve"> </w:t>
      </w:r>
      <w:r w:rsidRPr="00210EEC">
        <w:rPr>
          <w:rFonts w:asciiTheme="minorHAnsi" w:hAnsiTheme="minorHAnsi" w:cs="Segoe UI"/>
          <w:sz w:val="18"/>
          <w:szCs w:val="18"/>
        </w:rPr>
        <w:t xml:space="preserve"> </w:t>
      </w:r>
    </w:p>
    <w:p w14:paraId="73B16EF0"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8F9F27B" w14:textId="526100BF"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Organization for Economic Co-operation and Development (2016). </w:t>
      </w:r>
      <w:r w:rsidRPr="00210EEC">
        <w:rPr>
          <w:rFonts w:asciiTheme="minorHAnsi" w:hAnsiTheme="minorHAnsi" w:cs="Segoe UI"/>
          <w:i/>
          <w:iCs/>
          <w:sz w:val="18"/>
          <w:szCs w:val="18"/>
        </w:rPr>
        <w:t>Better Policies for Sustainable Development 2016: A New Framework for Policy Coherence.</w:t>
      </w:r>
      <w:r w:rsidRPr="00210EEC">
        <w:rPr>
          <w:rFonts w:asciiTheme="minorHAnsi" w:hAnsiTheme="minorHAnsi" w:cs="Segoe UI"/>
          <w:sz w:val="18"/>
          <w:szCs w:val="18"/>
        </w:rPr>
        <w:t xml:space="preserve"> Paris. </w:t>
      </w:r>
      <w:hyperlink r:id="rId114" w:history="1">
        <w:r w:rsidR="00210EEC" w:rsidRPr="003D09EF">
          <w:rPr>
            <w:rStyle w:val="Hyperlink"/>
            <w:rFonts w:asciiTheme="minorHAnsi" w:hAnsiTheme="minorHAnsi" w:cs="Segoe UI"/>
            <w:sz w:val="18"/>
            <w:szCs w:val="18"/>
          </w:rPr>
          <w:t>https://sustainabledevelopment.un.org/content/documents/commitments/493_12066_commitment_Better%20Policies%20for%20Sustainable%20Development%202016.pdf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7D85E48"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2A5C4E7" w14:textId="31ED7EC4"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Organization for Economic Co-operation and Development (2017). </w:t>
      </w:r>
      <w:r w:rsidRPr="00210EEC">
        <w:rPr>
          <w:rFonts w:asciiTheme="minorHAnsi" w:hAnsiTheme="minorHAnsi" w:cs="Segoe UI"/>
          <w:i/>
          <w:iCs/>
          <w:sz w:val="18"/>
          <w:szCs w:val="18"/>
        </w:rPr>
        <w:t>Policy Coherence for Sustainable Development 2017: Eradicating Poverty and Promoting Prosperity.</w:t>
      </w:r>
      <w:r w:rsidRPr="00210EEC">
        <w:rPr>
          <w:rFonts w:asciiTheme="minorHAnsi" w:hAnsiTheme="minorHAnsi" w:cs="Segoe UI"/>
          <w:sz w:val="18"/>
          <w:szCs w:val="18"/>
        </w:rPr>
        <w:t xml:space="preserve"> Paris: Organization for Economic Co-operation and Development. </w:t>
      </w:r>
      <w:hyperlink r:id="rId115" w:history="1">
        <w:r w:rsidR="00210EEC" w:rsidRPr="003D09EF">
          <w:rPr>
            <w:rStyle w:val="Hyperlink"/>
            <w:rFonts w:asciiTheme="minorHAnsi" w:hAnsiTheme="minorHAnsi" w:cs="Segoe UI"/>
            <w:sz w:val="18"/>
            <w:szCs w:val="18"/>
          </w:rPr>
          <w:t>https://www.oecd-ilibrary.org/policy-coherence-for-sustainable-development-2017_5jg03xm8f9lw.pdf?itemId=%2Fcontent%2Fpublication%2F9789264272576-en&amp;mimeType=pdf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C7F961B"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5AE4886" w14:textId="3695F4F3"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Organization for Economic Co-operation and Development, International Energy Agency, International Transport Forum and Nuclear Energy Agency (2015). </w:t>
      </w:r>
      <w:r w:rsidRPr="00210EEC">
        <w:rPr>
          <w:rFonts w:asciiTheme="minorHAnsi" w:hAnsiTheme="minorHAnsi" w:cs="Segoe UI"/>
          <w:i/>
          <w:iCs/>
          <w:sz w:val="18"/>
          <w:szCs w:val="18"/>
        </w:rPr>
        <w:t>Aligning Policies for a Low-carbon Economy.</w:t>
      </w:r>
      <w:r w:rsidRPr="00210EEC">
        <w:rPr>
          <w:rFonts w:asciiTheme="minorHAnsi" w:hAnsiTheme="minorHAnsi" w:cs="Segoe UI"/>
          <w:sz w:val="18"/>
          <w:szCs w:val="18"/>
        </w:rPr>
        <w:t xml:space="preserve"> Paris: Organization for Economic Co-operation and Development. </w:t>
      </w:r>
      <w:hyperlink r:id="rId116" w:history="1">
        <w:r w:rsidR="00210EEC" w:rsidRPr="003D09EF">
          <w:rPr>
            <w:rStyle w:val="Hyperlink"/>
            <w:rFonts w:asciiTheme="minorHAnsi" w:hAnsiTheme="minorHAnsi" w:cs="Segoe UI"/>
            <w:sz w:val="18"/>
            <w:szCs w:val="18"/>
          </w:rPr>
          <w:t>https://www.oecd-ilibrary.org/environment/aligning-policies-for-a-low-carbon-economy_9789264233294-en</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A2117CA"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29A9BCB" w14:textId="7A25FB99"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Osborn, D., Cornforth, J. and Ullah, F. (2014). </w:t>
      </w:r>
      <w:r w:rsidRPr="00210EEC">
        <w:rPr>
          <w:rFonts w:asciiTheme="minorHAnsi" w:hAnsiTheme="minorHAnsi" w:cs="Segoe UI"/>
          <w:i/>
          <w:iCs/>
          <w:sz w:val="18"/>
          <w:szCs w:val="18"/>
        </w:rPr>
        <w:t>National Councils for Sustainable Development: Lessons from the Past and Present.</w:t>
      </w:r>
      <w:r w:rsidRPr="00210EEC">
        <w:rPr>
          <w:rFonts w:asciiTheme="minorHAnsi" w:hAnsiTheme="minorHAnsi" w:cs="Segoe UI"/>
          <w:sz w:val="18"/>
          <w:szCs w:val="18"/>
        </w:rPr>
        <w:t xml:space="preserve"> Ottawa: </w:t>
      </w:r>
      <w:proofErr w:type="spellStart"/>
      <w:r w:rsidRPr="00210EEC">
        <w:rPr>
          <w:rFonts w:asciiTheme="minorHAnsi" w:hAnsiTheme="minorHAnsi" w:cs="Segoe UI"/>
          <w:sz w:val="18"/>
          <w:szCs w:val="18"/>
        </w:rPr>
        <w:t>SDplanNet</w:t>
      </w:r>
      <w:proofErr w:type="spellEnd"/>
      <w:r w:rsidRPr="00210EEC">
        <w:rPr>
          <w:rFonts w:asciiTheme="minorHAnsi" w:hAnsiTheme="minorHAnsi" w:cs="Segoe UI"/>
          <w:sz w:val="18"/>
          <w:szCs w:val="18"/>
        </w:rPr>
        <w:t xml:space="preserve">. </w:t>
      </w:r>
      <w:hyperlink r:id="rId117" w:history="1">
        <w:r w:rsidR="00210EEC" w:rsidRPr="003D09EF">
          <w:rPr>
            <w:rStyle w:val="Hyperlink"/>
            <w:rFonts w:asciiTheme="minorHAnsi" w:hAnsiTheme="minorHAnsi" w:cs="Segoe UI"/>
            <w:sz w:val="18"/>
            <w:szCs w:val="18"/>
          </w:rPr>
          <w:t>https://www.iisd.org/sites/default/files/publications/sdplannet_lessons_from_the_past.pdf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0577471"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61AE7A5" w14:textId="0606705B"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Ostrom, E. (2007). A diagnostic approach for going beyond panaceas. </w:t>
      </w:r>
      <w:r w:rsidRPr="00210EEC">
        <w:rPr>
          <w:rFonts w:asciiTheme="minorHAnsi" w:hAnsiTheme="minorHAnsi" w:cs="Segoe UI"/>
          <w:i/>
          <w:iCs/>
          <w:sz w:val="18"/>
          <w:szCs w:val="18"/>
        </w:rPr>
        <w:t>Proceedings of the National Academy of Sciences</w:t>
      </w:r>
      <w:r w:rsidRPr="00210EEC">
        <w:rPr>
          <w:rFonts w:asciiTheme="minorHAnsi" w:hAnsiTheme="minorHAnsi" w:cs="Segoe UI"/>
          <w:sz w:val="18"/>
          <w:szCs w:val="18"/>
        </w:rPr>
        <w:t xml:space="preserve"> 104(39), 15181-15187. </w:t>
      </w:r>
      <w:hyperlink r:id="rId118" w:history="1">
        <w:r w:rsidR="00210EEC" w:rsidRPr="003D09EF">
          <w:rPr>
            <w:rStyle w:val="Hyperlink"/>
            <w:rFonts w:asciiTheme="minorHAnsi" w:hAnsiTheme="minorHAnsi" w:cs="Segoe UI"/>
            <w:sz w:val="18"/>
            <w:szCs w:val="18"/>
          </w:rPr>
          <w:t>https://doi.org/10.1073/pnas.0702288104</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135818E"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CB7EB8B" w14:textId="7BD3ECF8"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Ostrom, E. (2009). A general framework for </w:t>
      </w:r>
      <w:proofErr w:type="spellStart"/>
      <w:r w:rsidRPr="00210EEC">
        <w:rPr>
          <w:rFonts w:asciiTheme="minorHAnsi" w:hAnsiTheme="minorHAnsi" w:cs="Segoe UI"/>
          <w:sz w:val="18"/>
          <w:szCs w:val="18"/>
        </w:rPr>
        <w:t>analyzing</w:t>
      </w:r>
      <w:proofErr w:type="spellEnd"/>
      <w:r w:rsidRPr="00210EEC">
        <w:rPr>
          <w:rFonts w:asciiTheme="minorHAnsi" w:hAnsiTheme="minorHAnsi" w:cs="Segoe UI"/>
          <w:sz w:val="18"/>
          <w:szCs w:val="18"/>
        </w:rPr>
        <w:t xml:space="preserve"> sustainability of social-ecological systems. </w:t>
      </w:r>
      <w:r w:rsidRPr="00210EEC">
        <w:rPr>
          <w:rFonts w:asciiTheme="minorHAnsi" w:hAnsiTheme="minorHAnsi" w:cs="Segoe UI"/>
          <w:i/>
          <w:iCs/>
          <w:sz w:val="18"/>
          <w:szCs w:val="18"/>
        </w:rPr>
        <w:t>Science</w:t>
      </w:r>
      <w:r w:rsidRPr="00210EEC">
        <w:rPr>
          <w:rFonts w:asciiTheme="minorHAnsi" w:hAnsiTheme="minorHAnsi" w:cs="Segoe UI"/>
          <w:sz w:val="18"/>
          <w:szCs w:val="18"/>
        </w:rPr>
        <w:t xml:space="preserve"> 325(5939), 419-422. </w:t>
      </w:r>
      <w:hyperlink r:id="rId119" w:history="1">
        <w:r w:rsidR="00210EEC" w:rsidRPr="003D09EF">
          <w:rPr>
            <w:rStyle w:val="Hyperlink"/>
            <w:rFonts w:asciiTheme="minorHAnsi" w:hAnsiTheme="minorHAnsi" w:cs="Segoe UI"/>
            <w:sz w:val="18"/>
            <w:szCs w:val="18"/>
          </w:rPr>
          <w:t>https://doi.org/10.1126/science.1172133</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6D40DD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0248D02" w14:textId="58ADFF1B"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Ostrom, E. (2010). Polycentric systems for coping with collective action and global environmental change. </w:t>
      </w:r>
      <w:r w:rsidRPr="00210EEC">
        <w:rPr>
          <w:rFonts w:asciiTheme="minorHAnsi" w:hAnsiTheme="minorHAnsi" w:cs="Segoe UI"/>
          <w:i/>
          <w:iCs/>
          <w:sz w:val="18"/>
          <w:szCs w:val="18"/>
        </w:rPr>
        <w:t>Global Environmental Change</w:t>
      </w:r>
      <w:r w:rsidRPr="00210EEC">
        <w:rPr>
          <w:rFonts w:asciiTheme="minorHAnsi" w:hAnsiTheme="minorHAnsi" w:cs="Segoe UI"/>
          <w:sz w:val="18"/>
          <w:szCs w:val="18"/>
        </w:rPr>
        <w:t xml:space="preserve"> 20(4), 550-557. </w:t>
      </w:r>
      <w:hyperlink r:id="rId120" w:history="1">
        <w:r w:rsidR="00210EEC" w:rsidRPr="003D09EF">
          <w:rPr>
            <w:rStyle w:val="Hyperlink"/>
            <w:rFonts w:asciiTheme="minorHAnsi" w:hAnsiTheme="minorHAnsi" w:cs="Segoe UI"/>
            <w:sz w:val="18"/>
            <w:szCs w:val="18"/>
          </w:rPr>
          <w:t>https://doi.org/10.1016/J.GLOENVCHA.2010.07.004</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54268A2"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FB4DFB2" w14:textId="36EA39D2"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Pan, J., Ma, H. and Zhang, Y. (2011). </w:t>
      </w:r>
      <w:r w:rsidRPr="00210EEC">
        <w:rPr>
          <w:rFonts w:asciiTheme="minorHAnsi" w:hAnsiTheme="minorHAnsi" w:cs="Segoe UI"/>
          <w:i/>
          <w:iCs/>
          <w:sz w:val="18"/>
          <w:szCs w:val="18"/>
        </w:rPr>
        <w:t>Green Economy and Green Jobs in China: Current Status and Potentials for 2020.</w:t>
      </w:r>
      <w:r w:rsidRPr="00210EEC">
        <w:rPr>
          <w:rFonts w:asciiTheme="minorHAnsi" w:hAnsiTheme="minorHAnsi" w:cs="Segoe UI"/>
          <w:sz w:val="18"/>
          <w:szCs w:val="18"/>
        </w:rPr>
        <w:t xml:space="preserve"> </w:t>
      </w:r>
      <w:proofErr w:type="spellStart"/>
      <w:r w:rsidRPr="00210EEC">
        <w:rPr>
          <w:rFonts w:asciiTheme="minorHAnsi" w:hAnsiTheme="minorHAnsi" w:cs="Segoe UI"/>
          <w:sz w:val="18"/>
          <w:szCs w:val="18"/>
        </w:rPr>
        <w:t>Mastny</w:t>
      </w:r>
      <w:proofErr w:type="spellEnd"/>
      <w:r w:rsidRPr="00210EEC">
        <w:rPr>
          <w:rFonts w:asciiTheme="minorHAnsi" w:hAnsiTheme="minorHAnsi" w:cs="Segoe UI"/>
          <w:sz w:val="18"/>
          <w:szCs w:val="18"/>
        </w:rPr>
        <w:t xml:space="preserve">, L. (ed.). Washington, D.C.: </w:t>
      </w:r>
      <w:proofErr w:type="spellStart"/>
      <w:r w:rsidRPr="00210EEC">
        <w:rPr>
          <w:rFonts w:asciiTheme="minorHAnsi" w:hAnsiTheme="minorHAnsi" w:cs="Segoe UI"/>
          <w:sz w:val="18"/>
          <w:szCs w:val="18"/>
        </w:rPr>
        <w:t>Worldwatch</w:t>
      </w:r>
      <w:proofErr w:type="spellEnd"/>
      <w:r w:rsidRPr="00210EEC">
        <w:rPr>
          <w:rFonts w:asciiTheme="minorHAnsi" w:hAnsiTheme="minorHAnsi" w:cs="Segoe UI"/>
          <w:sz w:val="18"/>
          <w:szCs w:val="18"/>
        </w:rPr>
        <w:t xml:space="preserve"> Institute. </w:t>
      </w:r>
      <w:hyperlink r:id="rId121" w:history="1">
        <w:r w:rsidR="00210EEC" w:rsidRPr="003D09EF">
          <w:rPr>
            <w:rStyle w:val="Hyperlink"/>
            <w:rFonts w:asciiTheme="minorHAnsi" w:hAnsiTheme="minorHAnsi" w:cs="Segoe UI"/>
            <w:sz w:val="18"/>
            <w:szCs w:val="18"/>
          </w:rPr>
          <w:t>http://www.worldwatch.org/system/files/185%20Green%20China.pdf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8F6AF7E"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AB74A1F" w14:textId="27E77790"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Persson, Å. (2007). Different perspectives on EPI. </w:t>
      </w:r>
      <w:r w:rsidR="0018139C" w:rsidRPr="00210EEC">
        <w:rPr>
          <w:rFonts w:asciiTheme="minorHAnsi" w:hAnsiTheme="minorHAnsi" w:cs="Segoe UI"/>
          <w:sz w:val="18"/>
          <w:szCs w:val="18"/>
        </w:rPr>
        <w:t xml:space="preserve">In </w:t>
      </w:r>
      <w:r w:rsidR="0018139C" w:rsidRPr="00210EEC">
        <w:rPr>
          <w:rFonts w:asciiTheme="minorHAnsi" w:hAnsiTheme="minorHAnsi" w:cs="Segoe UI"/>
          <w:i/>
          <w:sz w:val="18"/>
          <w:szCs w:val="18"/>
        </w:rPr>
        <w:t>Environmental</w:t>
      </w:r>
      <w:r w:rsidRPr="00210EEC">
        <w:rPr>
          <w:rFonts w:asciiTheme="minorHAnsi" w:hAnsiTheme="minorHAnsi" w:cs="Segoe UI"/>
          <w:i/>
          <w:iCs/>
          <w:sz w:val="18"/>
          <w:szCs w:val="18"/>
        </w:rPr>
        <w:t xml:space="preserve"> Policy Integration in Practice: Shaping Institutions for Learning.</w:t>
      </w:r>
      <w:r w:rsidRPr="00210EEC">
        <w:rPr>
          <w:rFonts w:asciiTheme="minorHAnsi" w:hAnsiTheme="minorHAnsi" w:cs="Segoe UI"/>
          <w:sz w:val="18"/>
          <w:szCs w:val="18"/>
        </w:rPr>
        <w:t xml:space="preserve"> Nilsson, M. and </w:t>
      </w:r>
      <w:proofErr w:type="spellStart"/>
      <w:r w:rsidRPr="00210EEC">
        <w:rPr>
          <w:rFonts w:asciiTheme="minorHAnsi" w:hAnsiTheme="minorHAnsi" w:cs="Segoe UI"/>
          <w:sz w:val="18"/>
          <w:szCs w:val="18"/>
        </w:rPr>
        <w:t>Eckerberg</w:t>
      </w:r>
      <w:proofErr w:type="spellEnd"/>
      <w:r w:rsidRPr="00210EEC">
        <w:rPr>
          <w:rFonts w:asciiTheme="minorHAnsi" w:hAnsiTheme="minorHAnsi" w:cs="Segoe UI"/>
          <w:sz w:val="18"/>
          <w:szCs w:val="18"/>
        </w:rPr>
        <w:t xml:space="preserve">, K. (eds.).  London: Routledge. chapter 2. 25-48. </w:t>
      </w:r>
      <w:hyperlink r:id="rId122" w:history="1">
        <w:r w:rsidR="00210EEC" w:rsidRPr="003D09EF">
          <w:rPr>
            <w:rStyle w:val="Hyperlink"/>
            <w:rFonts w:asciiTheme="minorHAnsi" w:hAnsiTheme="minorHAnsi" w:cs="Segoe UI"/>
            <w:sz w:val="18"/>
            <w:szCs w:val="18"/>
          </w:rPr>
          <w:t>https://www.taylorfrancis.com/books/e/9781136548185/chapters/10.4324%2F9781849773843-10</w:t>
        </w:r>
      </w:hyperlink>
      <w:r w:rsidR="00210EEC">
        <w:rPr>
          <w:rFonts w:asciiTheme="minorHAnsi" w:hAnsiTheme="minorHAnsi" w:cs="Segoe UI"/>
          <w:sz w:val="18"/>
          <w:szCs w:val="18"/>
        </w:rPr>
        <w:t xml:space="preserve"> </w:t>
      </w:r>
    </w:p>
    <w:p w14:paraId="34A33678"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46D5DB3" w14:textId="11506CDE"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Pierson, P. (2000). Increasing returns, path dependence, and the study of politics. </w:t>
      </w:r>
      <w:r w:rsidRPr="00210EEC">
        <w:rPr>
          <w:rFonts w:asciiTheme="minorHAnsi" w:hAnsiTheme="minorHAnsi" w:cs="Segoe UI"/>
          <w:i/>
          <w:iCs/>
          <w:sz w:val="18"/>
          <w:szCs w:val="18"/>
        </w:rPr>
        <w:t>American Political Science Review</w:t>
      </w:r>
      <w:r w:rsidRPr="00210EEC">
        <w:rPr>
          <w:rFonts w:asciiTheme="minorHAnsi" w:hAnsiTheme="minorHAnsi" w:cs="Segoe UI"/>
          <w:sz w:val="18"/>
          <w:szCs w:val="18"/>
        </w:rPr>
        <w:t xml:space="preserve"> 94(2), 251-267. </w:t>
      </w:r>
      <w:hyperlink r:id="rId123" w:history="1">
        <w:r w:rsidR="00210EEC" w:rsidRPr="003D09EF">
          <w:rPr>
            <w:rStyle w:val="Hyperlink"/>
            <w:rFonts w:asciiTheme="minorHAnsi" w:hAnsiTheme="minorHAnsi" w:cs="Segoe UI"/>
            <w:sz w:val="18"/>
            <w:szCs w:val="18"/>
          </w:rPr>
          <w:t>https://doi.org/10.2307/2586011</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2B0A081"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D0A2DBB" w14:textId="5C81B9BE"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Porter, M.E. and van der Linde, C. (1995). Toward a new conception of the environment-competitiveness relationship. </w:t>
      </w:r>
      <w:r w:rsidRPr="00210EEC">
        <w:rPr>
          <w:rFonts w:asciiTheme="minorHAnsi" w:hAnsiTheme="minorHAnsi" w:cs="Segoe UI"/>
          <w:i/>
          <w:iCs/>
          <w:sz w:val="18"/>
          <w:szCs w:val="18"/>
        </w:rPr>
        <w:t>The Journal of Economic Perspectives</w:t>
      </w:r>
      <w:r w:rsidRPr="00210EEC">
        <w:rPr>
          <w:rFonts w:asciiTheme="minorHAnsi" w:hAnsiTheme="minorHAnsi" w:cs="Segoe UI"/>
          <w:sz w:val="18"/>
          <w:szCs w:val="18"/>
        </w:rPr>
        <w:t xml:space="preserve"> 9(4), 97-118. </w:t>
      </w:r>
      <w:hyperlink r:id="rId124" w:history="1">
        <w:r w:rsidR="00210EEC" w:rsidRPr="003D09EF">
          <w:rPr>
            <w:rStyle w:val="Hyperlink"/>
            <w:rFonts w:asciiTheme="minorHAnsi" w:hAnsiTheme="minorHAnsi" w:cs="Segoe UI"/>
            <w:sz w:val="18"/>
            <w:szCs w:val="18"/>
          </w:rPr>
          <w:t>https://doi.org/10.1257/jep.9.4.97</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A8959F7"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24D3C76" w14:textId="5F9F1E4A"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Radaelli</w:t>
      </w:r>
      <w:proofErr w:type="spellEnd"/>
      <w:r w:rsidRPr="00210EEC">
        <w:rPr>
          <w:rFonts w:asciiTheme="minorHAnsi" w:hAnsiTheme="minorHAnsi" w:cs="Segoe UI"/>
          <w:sz w:val="18"/>
          <w:szCs w:val="18"/>
        </w:rPr>
        <w:t xml:space="preserve">, C.M. (2009). Measuring policy learning: Regulatory impact assessment in Europe. </w:t>
      </w:r>
      <w:r w:rsidRPr="00210EEC">
        <w:rPr>
          <w:rFonts w:asciiTheme="minorHAnsi" w:hAnsiTheme="minorHAnsi" w:cs="Segoe UI"/>
          <w:i/>
          <w:iCs/>
          <w:sz w:val="18"/>
          <w:szCs w:val="18"/>
        </w:rPr>
        <w:t>Journal of European Public Policy</w:t>
      </w:r>
      <w:r w:rsidRPr="00210EEC">
        <w:rPr>
          <w:rFonts w:asciiTheme="minorHAnsi" w:hAnsiTheme="minorHAnsi" w:cs="Segoe UI"/>
          <w:sz w:val="18"/>
          <w:szCs w:val="18"/>
        </w:rPr>
        <w:t xml:space="preserve"> 16(8), 1145-1164. </w:t>
      </w:r>
      <w:hyperlink r:id="rId125" w:history="1">
        <w:r w:rsidR="00210EEC" w:rsidRPr="003D09EF">
          <w:rPr>
            <w:rStyle w:val="Hyperlink"/>
            <w:rFonts w:asciiTheme="minorHAnsi" w:hAnsiTheme="minorHAnsi" w:cs="Segoe UI"/>
            <w:sz w:val="18"/>
            <w:szCs w:val="18"/>
          </w:rPr>
          <w:t>https://doi.org/10.1080/13501760903332647</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8154BA4"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403A513" w14:textId="395F4E15"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Renda, A. (2017). </w:t>
      </w:r>
      <w:r w:rsidRPr="00210EEC">
        <w:rPr>
          <w:rFonts w:asciiTheme="minorHAnsi" w:hAnsiTheme="minorHAnsi" w:cs="Segoe UI"/>
          <w:i/>
          <w:iCs/>
          <w:sz w:val="18"/>
          <w:szCs w:val="18"/>
        </w:rPr>
        <w:t>How can Sustainable Development Goals be ‘mainstreamed’ in the EU’s Better Regulation Agenda?</w:t>
      </w:r>
      <w:r w:rsidRPr="00210EEC">
        <w:rPr>
          <w:rFonts w:asciiTheme="minorHAnsi" w:hAnsiTheme="minorHAnsi" w:cs="Segoe UI"/>
          <w:sz w:val="18"/>
          <w:szCs w:val="18"/>
        </w:rPr>
        <w:t xml:space="preserve"> CEPS Policy Insights. Brussels: Centre for European Policy Studies. </w:t>
      </w:r>
      <w:hyperlink r:id="rId126" w:history="1">
        <w:r w:rsidR="00210EEC" w:rsidRPr="003D09EF">
          <w:rPr>
            <w:rStyle w:val="Hyperlink"/>
            <w:rFonts w:asciiTheme="minorHAnsi" w:hAnsiTheme="minorHAnsi" w:cs="Segoe UI"/>
            <w:sz w:val="18"/>
            <w:szCs w:val="18"/>
          </w:rPr>
          <w:t>https://www.ceps.eu/system/files/Better%20regulation%20and%20sustainable%20development_CEPS%20Policy%20Insights_%20A_Renda.pdf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AE0A338"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6E2629B" w14:textId="3D606ECA"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Repetto, R. (ed.) (2006). </w:t>
      </w:r>
      <w:r w:rsidRPr="00210EEC">
        <w:rPr>
          <w:rFonts w:asciiTheme="minorHAnsi" w:hAnsiTheme="minorHAnsi" w:cs="Segoe UI"/>
          <w:i/>
          <w:iCs/>
          <w:sz w:val="18"/>
          <w:szCs w:val="18"/>
        </w:rPr>
        <w:t>Punctuated Equilibrium and the Dynamics of US Environmental Policy</w:t>
      </w:r>
      <w:r w:rsidRPr="00210EEC">
        <w:rPr>
          <w:rFonts w:asciiTheme="minorHAnsi" w:hAnsiTheme="minorHAnsi" w:cs="Segoe UI"/>
          <w:sz w:val="18"/>
          <w:szCs w:val="18"/>
        </w:rPr>
        <w:t xml:space="preserve">. New Haven, CT: Yale University Press. </w:t>
      </w:r>
      <w:hyperlink r:id="rId127" w:history="1">
        <w:r w:rsidR="00210EEC" w:rsidRPr="003D09EF">
          <w:rPr>
            <w:rStyle w:val="Hyperlink"/>
            <w:rFonts w:asciiTheme="minorHAnsi" w:hAnsiTheme="minorHAnsi" w:cs="Segoe UI"/>
            <w:sz w:val="18"/>
            <w:szCs w:val="18"/>
          </w:rPr>
          <w:t>https://yalebooks.yale.edu/book/9780300110760/punctuated-equilibrium-and-dynamics-us-environmental-policy</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5ED7DD2"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300ACE4" w14:textId="022DFD73"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Ritzka</w:t>
      </w:r>
      <w:proofErr w:type="spellEnd"/>
      <w:r w:rsidRPr="00210EEC">
        <w:rPr>
          <w:rFonts w:asciiTheme="minorHAnsi" w:hAnsiTheme="minorHAnsi" w:cs="Segoe UI"/>
          <w:sz w:val="18"/>
          <w:szCs w:val="18"/>
        </w:rPr>
        <w:t xml:space="preserve">, M.S. (2016). </w:t>
      </w:r>
      <w:r w:rsidRPr="00210EEC">
        <w:rPr>
          <w:rFonts w:asciiTheme="minorHAnsi" w:hAnsiTheme="minorHAnsi" w:cs="Segoe UI"/>
          <w:i/>
          <w:iCs/>
          <w:sz w:val="18"/>
          <w:szCs w:val="18"/>
        </w:rPr>
        <w:t>Incorporation of Sustainable Development Concerns in Regulatory Impact Assessments.</w:t>
      </w:r>
      <w:r w:rsidRPr="00210EEC">
        <w:rPr>
          <w:rFonts w:asciiTheme="minorHAnsi" w:hAnsiTheme="minorHAnsi" w:cs="Segoe UI"/>
          <w:sz w:val="18"/>
          <w:szCs w:val="18"/>
        </w:rPr>
        <w:t xml:space="preserve"> Masters in Sustainable Development, Uppsala University </w:t>
      </w:r>
      <w:hyperlink r:id="rId128" w:history="1">
        <w:r w:rsidR="00210EEC" w:rsidRPr="003D09EF">
          <w:rPr>
            <w:rStyle w:val="Hyperlink"/>
            <w:rFonts w:asciiTheme="minorHAnsi" w:hAnsiTheme="minorHAnsi" w:cs="Segoe UI"/>
            <w:sz w:val="18"/>
            <w:szCs w:val="18"/>
          </w:rPr>
          <w:t>http://www.diva-portal.se/smash/get/diva2:945065/FULLTEXT01.pdf</w:t>
        </w:r>
      </w:hyperlink>
      <w:r w:rsidR="00210EEC">
        <w:rPr>
          <w:rFonts w:asciiTheme="minorHAnsi" w:hAnsiTheme="minorHAnsi" w:cs="Segoe UI"/>
          <w:sz w:val="18"/>
          <w:szCs w:val="18"/>
        </w:rPr>
        <w:t xml:space="preserve"> </w:t>
      </w:r>
      <w:r w:rsidRPr="00210EEC">
        <w:rPr>
          <w:rFonts w:asciiTheme="minorHAnsi" w:hAnsiTheme="minorHAnsi" w:cs="Segoe UI"/>
          <w:sz w:val="18"/>
          <w:szCs w:val="18"/>
        </w:rPr>
        <w:t xml:space="preserve">  </w:t>
      </w:r>
      <w:r w:rsidR="00210EEC">
        <w:rPr>
          <w:rFonts w:asciiTheme="minorHAnsi" w:hAnsiTheme="minorHAnsi" w:cs="Segoe UI"/>
          <w:sz w:val="18"/>
          <w:szCs w:val="18"/>
        </w:rPr>
        <w:t xml:space="preserve"> </w:t>
      </w:r>
    </w:p>
    <w:p w14:paraId="7BF58B3B"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5EB3F90" w14:textId="040EADCE"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Runhaar</w:t>
      </w:r>
      <w:proofErr w:type="spellEnd"/>
      <w:r w:rsidRPr="00210EEC">
        <w:rPr>
          <w:rFonts w:asciiTheme="minorHAnsi" w:hAnsiTheme="minorHAnsi" w:cs="Segoe UI"/>
          <w:sz w:val="18"/>
          <w:szCs w:val="18"/>
        </w:rPr>
        <w:t xml:space="preserve">, H., Driessen, P. and </w:t>
      </w:r>
      <w:proofErr w:type="spellStart"/>
      <w:r w:rsidRPr="00210EEC">
        <w:rPr>
          <w:rFonts w:asciiTheme="minorHAnsi" w:hAnsiTheme="minorHAnsi" w:cs="Segoe UI"/>
          <w:sz w:val="18"/>
          <w:szCs w:val="18"/>
        </w:rPr>
        <w:t>Uittenbroek</w:t>
      </w:r>
      <w:proofErr w:type="spellEnd"/>
      <w:r w:rsidRPr="00210EEC">
        <w:rPr>
          <w:rFonts w:asciiTheme="minorHAnsi" w:hAnsiTheme="minorHAnsi" w:cs="Segoe UI"/>
          <w:sz w:val="18"/>
          <w:szCs w:val="18"/>
        </w:rPr>
        <w:t xml:space="preserve">, C. (2014). Towards a systematic framework for the analysis of environmental policy integration. </w:t>
      </w:r>
      <w:r w:rsidRPr="00210EEC">
        <w:rPr>
          <w:rFonts w:asciiTheme="minorHAnsi" w:hAnsiTheme="minorHAnsi" w:cs="Segoe UI"/>
          <w:i/>
          <w:iCs/>
          <w:sz w:val="18"/>
          <w:szCs w:val="18"/>
        </w:rPr>
        <w:t>Environmental Policy and Governance</w:t>
      </w:r>
      <w:r w:rsidRPr="00210EEC">
        <w:rPr>
          <w:rFonts w:asciiTheme="minorHAnsi" w:hAnsiTheme="minorHAnsi" w:cs="Segoe UI"/>
          <w:sz w:val="18"/>
          <w:szCs w:val="18"/>
        </w:rPr>
        <w:t xml:space="preserve"> 24(4), 233-246. </w:t>
      </w:r>
      <w:hyperlink r:id="rId129" w:history="1">
        <w:r w:rsidR="00210EEC" w:rsidRPr="003D09EF">
          <w:rPr>
            <w:rStyle w:val="Hyperlink"/>
            <w:rFonts w:asciiTheme="minorHAnsi" w:hAnsiTheme="minorHAnsi" w:cs="Segoe UI"/>
            <w:sz w:val="18"/>
            <w:szCs w:val="18"/>
          </w:rPr>
          <w:t>https://doi.org/10.1002/eet.1647</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CF224CA"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07A6366" w14:textId="439A95C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Schaffrin</w:t>
      </w:r>
      <w:proofErr w:type="spellEnd"/>
      <w:r w:rsidRPr="00210EEC">
        <w:rPr>
          <w:rFonts w:asciiTheme="minorHAnsi" w:hAnsiTheme="minorHAnsi" w:cs="Segoe UI"/>
          <w:sz w:val="18"/>
          <w:szCs w:val="18"/>
        </w:rPr>
        <w:t xml:space="preserve">, A., </w:t>
      </w:r>
      <w:proofErr w:type="spellStart"/>
      <w:r w:rsidRPr="00210EEC">
        <w:rPr>
          <w:rFonts w:asciiTheme="minorHAnsi" w:hAnsiTheme="minorHAnsi" w:cs="Segoe UI"/>
          <w:sz w:val="18"/>
          <w:szCs w:val="18"/>
        </w:rPr>
        <w:t>Sewerin</w:t>
      </w:r>
      <w:proofErr w:type="spellEnd"/>
      <w:r w:rsidRPr="00210EEC">
        <w:rPr>
          <w:rFonts w:asciiTheme="minorHAnsi" w:hAnsiTheme="minorHAnsi" w:cs="Segoe UI"/>
          <w:sz w:val="18"/>
          <w:szCs w:val="18"/>
        </w:rPr>
        <w:t xml:space="preserve">, S. and </w:t>
      </w:r>
      <w:proofErr w:type="spellStart"/>
      <w:r w:rsidRPr="00210EEC">
        <w:rPr>
          <w:rFonts w:asciiTheme="minorHAnsi" w:hAnsiTheme="minorHAnsi" w:cs="Segoe UI"/>
          <w:sz w:val="18"/>
          <w:szCs w:val="18"/>
        </w:rPr>
        <w:t>Seubert</w:t>
      </w:r>
      <w:proofErr w:type="spellEnd"/>
      <w:r w:rsidRPr="00210EEC">
        <w:rPr>
          <w:rFonts w:asciiTheme="minorHAnsi" w:hAnsiTheme="minorHAnsi" w:cs="Segoe UI"/>
          <w:sz w:val="18"/>
          <w:szCs w:val="18"/>
        </w:rPr>
        <w:t xml:space="preserve">, S. (2015). Toward a comparative measure of climate policy output. </w:t>
      </w:r>
      <w:r w:rsidRPr="00210EEC">
        <w:rPr>
          <w:rFonts w:asciiTheme="minorHAnsi" w:hAnsiTheme="minorHAnsi" w:cs="Segoe UI"/>
          <w:i/>
          <w:iCs/>
          <w:sz w:val="18"/>
          <w:szCs w:val="18"/>
        </w:rPr>
        <w:t>Policy Studies Journal</w:t>
      </w:r>
      <w:r w:rsidRPr="00210EEC">
        <w:rPr>
          <w:rFonts w:asciiTheme="minorHAnsi" w:hAnsiTheme="minorHAnsi" w:cs="Segoe UI"/>
          <w:sz w:val="18"/>
          <w:szCs w:val="18"/>
        </w:rPr>
        <w:t xml:space="preserve"> 43(2), 257-282. </w:t>
      </w:r>
      <w:hyperlink r:id="rId130" w:history="1">
        <w:r w:rsidR="00210EEC" w:rsidRPr="003D09EF">
          <w:rPr>
            <w:rStyle w:val="Hyperlink"/>
            <w:rFonts w:asciiTheme="minorHAnsi" w:hAnsiTheme="minorHAnsi" w:cs="Segoe UI"/>
            <w:sz w:val="18"/>
            <w:szCs w:val="18"/>
          </w:rPr>
          <w:t>https://doi.org/10.1111/psj.12095</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2443060"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2D009124" w14:textId="0B12D3CE"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Schmidt, T.S., </w:t>
      </w:r>
      <w:proofErr w:type="spellStart"/>
      <w:r w:rsidRPr="00210EEC">
        <w:rPr>
          <w:rFonts w:asciiTheme="minorHAnsi" w:hAnsiTheme="minorHAnsi" w:cs="Segoe UI"/>
          <w:sz w:val="18"/>
          <w:szCs w:val="18"/>
        </w:rPr>
        <w:t>Battke</w:t>
      </w:r>
      <w:proofErr w:type="spellEnd"/>
      <w:r w:rsidRPr="00210EEC">
        <w:rPr>
          <w:rFonts w:asciiTheme="minorHAnsi" w:hAnsiTheme="minorHAnsi" w:cs="Segoe UI"/>
          <w:sz w:val="18"/>
          <w:szCs w:val="18"/>
        </w:rPr>
        <w:t xml:space="preserve">, B., </w:t>
      </w:r>
      <w:proofErr w:type="spellStart"/>
      <w:r w:rsidRPr="00210EEC">
        <w:rPr>
          <w:rFonts w:asciiTheme="minorHAnsi" w:hAnsiTheme="minorHAnsi" w:cs="Segoe UI"/>
          <w:sz w:val="18"/>
          <w:szCs w:val="18"/>
        </w:rPr>
        <w:t>Grosspietsch</w:t>
      </w:r>
      <w:proofErr w:type="spellEnd"/>
      <w:r w:rsidRPr="00210EEC">
        <w:rPr>
          <w:rFonts w:asciiTheme="minorHAnsi" w:hAnsiTheme="minorHAnsi" w:cs="Segoe UI"/>
          <w:sz w:val="18"/>
          <w:szCs w:val="18"/>
        </w:rPr>
        <w:t xml:space="preserve">, D. and Hoffmann, V.H. (2016). Do deployment policies pick technologies by (not) picking applications? - A simulation of investment decisions in technologies with multiple applications. </w:t>
      </w:r>
      <w:r w:rsidRPr="00210EEC">
        <w:rPr>
          <w:rFonts w:asciiTheme="minorHAnsi" w:hAnsiTheme="minorHAnsi" w:cs="Segoe UI"/>
          <w:i/>
          <w:iCs/>
          <w:sz w:val="18"/>
          <w:szCs w:val="18"/>
        </w:rPr>
        <w:t>Research Policy</w:t>
      </w:r>
      <w:r w:rsidRPr="00210EEC">
        <w:rPr>
          <w:rFonts w:asciiTheme="minorHAnsi" w:hAnsiTheme="minorHAnsi" w:cs="Segoe UI"/>
          <w:sz w:val="18"/>
          <w:szCs w:val="18"/>
        </w:rPr>
        <w:t xml:space="preserve"> 45(10), 1965-1983. </w:t>
      </w:r>
      <w:hyperlink r:id="rId131" w:history="1">
        <w:r w:rsidR="00210EEC" w:rsidRPr="003D09EF">
          <w:rPr>
            <w:rStyle w:val="Hyperlink"/>
            <w:rFonts w:asciiTheme="minorHAnsi" w:hAnsiTheme="minorHAnsi" w:cs="Segoe UI"/>
            <w:sz w:val="18"/>
            <w:szCs w:val="18"/>
          </w:rPr>
          <w:t>https://doi.org/10.1016/j.respol.2016.07.001</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09CCE9BF"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5300BCC" w14:textId="7A2E208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Schmidt, T.S. and </w:t>
      </w:r>
      <w:proofErr w:type="spellStart"/>
      <w:r w:rsidRPr="00210EEC">
        <w:rPr>
          <w:rFonts w:asciiTheme="minorHAnsi" w:hAnsiTheme="minorHAnsi" w:cs="Segoe UI"/>
          <w:sz w:val="18"/>
          <w:szCs w:val="18"/>
        </w:rPr>
        <w:t>Sewerin</w:t>
      </w:r>
      <w:proofErr w:type="spellEnd"/>
      <w:r w:rsidRPr="00210EEC">
        <w:rPr>
          <w:rFonts w:asciiTheme="minorHAnsi" w:hAnsiTheme="minorHAnsi" w:cs="Segoe UI"/>
          <w:sz w:val="18"/>
          <w:szCs w:val="18"/>
        </w:rPr>
        <w:t xml:space="preserve">, S. (2018). Measuring the temporal dynamics of policy mixes – An empirical analysis of renewable energy policy mixes’ balance and design features in nine countries. </w:t>
      </w:r>
      <w:r w:rsidRPr="00210EEC">
        <w:rPr>
          <w:rFonts w:asciiTheme="minorHAnsi" w:hAnsiTheme="minorHAnsi" w:cs="Segoe UI"/>
          <w:i/>
          <w:iCs/>
          <w:sz w:val="18"/>
          <w:szCs w:val="18"/>
        </w:rPr>
        <w:t>Research Policy</w:t>
      </w:r>
      <w:r w:rsidRPr="00210EEC">
        <w:rPr>
          <w:rFonts w:asciiTheme="minorHAnsi" w:hAnsiTheme="minorHAnsi" w:cs="Segoe UI"/>
          <w:sz w:val="18"/>
          <w:szCs w:val="18"/>
        </w:rPr>
        <w:t xml:space="preserve">. </w:t>
      </w:r>
      <w:hyperlink r:id="rId132" w:history="1">
        <w:r w:rsidR="00210EEC" w:rsidRPr="003D09EF">
          <w:rPr>
            <w:rStyle w:val="Hyperlink"/>
            <w:rFonts w:asciiTheme="minorHAnsi" w:hAnsiTheme="minorHAnsi" w:cs="Segoe UI"/>
            <w:sz w:val="18"/>
            <w:szCs w:val="18"/>
          </w:rPr>
          <w:t>https://doi.org/10.1016/j.respol.2018.03.012</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F41488E"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6895950" w14:textId="443FD8B1"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Scrase</w:t>
      </w:r>
      <w:proofErr w:type="spellEnd"/>
      <w:r w:rsidRPr="00210EEC">
        <w:rPr>
          <w:rFonts w:asciiTheme="minorHAnsi" w:hAnsiTheme="minorHAnsi" w:cs="Segoe UI"/>
          <w:sz w:val="18"/>
          <w:szCs w:val="18"/>
        </w:rPr>
        <w:t xml:space="preserve">, J.I. and </w:t>
      </w:r>
      <w:proofErr w:type="spellStart"/>
      <w:r w:rsidRPr="00210EEC">
        <w:rPr>
          <w:rFonts w:asciiTheme="minorHAnsi" w:hAnsiTheme="minorHAnsi" w:cs="Segoe UI"/>
          <w:sz w:val="18"/>
          <w:szCs w:val="18"/>
        </w:rPr>
        <w:t>Ockwell</w:t>
      </w:r>
      <w:proofErr w:type="spellEnd"/>
      <w:r w:rsidRPr="00210EEC">
        <w:rPr>
          <w:rFonts w:asciiTheme="minorHAnsi" w:hAnsiTheme="minorHAnsi" w:cs="Segoe UI"/>
          <w:sz w:val="18"/>
          <w:szCs w:val="18"/>
        </w:rPr>
        <w:t xml:space="preserve">, D.G. (2010). The role of discourse and linguistic framing effects in sustaining high carbon energy policy—An accessible introduction. </w:t>
      </w:r>
      <w:r w:rsidRPr="00210EEC">
        <w:rPr>
          <w:rFonts w:asciiTheme="minorHAnsi" w:hAnsiTheme="minorHAnsi" w:cs="Segoe UI"/>
          <w:i/>
          <w:iCs/>
          <w:sz w:val="18"/>
          <w:szCs w:val="18"/>
        </w:rPr>
        <w:t>Energy Policy</w:t>
      </w:r>
      <w:r w:rsidRPr="00210EEC">
        <w:rPr>
          <w:rFonts w:asciiTheme="minorHAnsi" w:hAnsiTheme="minorHAnsi" w:cs="Segoe UI"/>
          <w:sz w:val="18"/>
          <w:szCs w:val="18"/>
        </w:rPr>
        <w:t xml:space="preserve"> 38(5), 2225-2233. </w:t>
      </w:r>
      <w:hyperlink r:id="rId133" w:history="1">
        <w:r w:rsidR="00210EEC" w:rsidRPr="003D09EF">
          <w:rPr>
            <w:rStyle w:val="Hyperlink"/>
            <w:rFonts w:asciiTheme="minorHAnsi" w:hAnsiTheme="minorHAnsi" w:cs="Segoe UI"/>
            <w:sz w:val="18"/>
            <w:szCs w:val="18"/>
          </w:rPr>
          <w:t>https://doi.org/10.1016/j.enpol.2009.12.010</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E3410ED"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E7A3D26" w14:textId="5AF2CE2E"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Sebenius, J.K. (1991). Designing negotiations toward a new regime: The case of global warming.</w:t>
      </w:r>
      <w:r w:rsidRPr="00210EEC">
        <w:rPr>
          <w:rFonts w:asciiTheme="minorHAnsi" w:hAnsiTheme="minorHAnsi" w:cs="Segoe UI"/>
          <w:i/>
          <w:iCs/>
          <w:sz w:val="18"/>
          <w:szCs w:val="18"/>
        </w:rPr>
        <w:t xml:space="preserve"> International Security</w:t>
      </w:r>
      <w:r w:rsidRPr="00210EEC">
        <w:rPr>
          <w:rFonts w:asciiTheme="minorHAnsi" w:hAnsiTheme="minorHAnsi" w:cs="Segoe UI"/>
          <w:sz w:val="18"/>
          <w:szCs w:val="18"/>
        </w:rPr>
        <w:t xml:space="preserve"> 15(4), 110-148. </w:t>
      </w:r>
      <w:hyperlink r:id="rId134" w:history="1">
        <w:r w:rsidR="00210EEC" w:rsidRPr="003D09EF">
          <w:rPr>
            <w:rStyle w:val="Hyperlink"/>
            <w:rFonts w:asciiTheme="minorHAnsi" w:hAnsiTheme="minorHAnsi" w:cs="Segoe UI"/>
            <w:sz w:val="18"/>
            <w:szCs w:val="18"/>
          </w:rPr>
          <w:t>https://doi.org/10.2307/2539013</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288A79A"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F92C61D" w14:textId="37E701A1"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Simmons, B. (2010). Treaty compliance and violation. </w:t>
      </w:r>
      <w:r w:rsidRPr="00210EEC">
        <w:rPr>
          <w:rFonts w:asciiTheme="minorHAnsi" w:hAnsiTheme="minorHAnsi" w:cs="Segoe UI"/>
          <w:i/>
          <w:iCs/>
          <w:sz w:val="18"/>
          <w:szCs w:val="18"/>
        </w:rPr>
        <w:t>Annual Review of Political Science</w:t>
      </w:r>
      <w:r w:rsidRPr="00210EEC">
        <w:rPr>
          <w:rFonts w:asciiTheme="minorHAnsi" w:hAnsiTheme="minorHAnsi" w:cs="Segoe UI"/>
          <w:sz w:val="18"/>
          <w:szCs w:val="18"/>
        </w:rPr>
        <w:t xml:space="preserve"> 13(1), 273-296. </w:t>
      </w:r>
      <w:hyperlink r:id="rId135" w:history="1">
        <w:r w:rsidR="00210EEC" w:rsidRPr="003D09EF">
          <w:rPr>
            <w:rStyle w:val="Hyperlink"/>
            <w:rFonts w:asciiTheme="minorHAnsi" w:hAnsiTheme="minorHAnsi" w:cs="Segoe UI"/>
            <w:sz w:val="18"/>
            <w:szCs w:val="18"/>
          </w:rPr>
          <w:t>https://doi.org/10.1146/annurev.polisci.12.040907.132713</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CC73A73"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21A279E" w14:textId="2F0F70CB"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Sprinz</w:t>
      </w:r>
      <w:proofErr w:type="spellEnd"/>
      <w:r w:rsidRPr="00210EEC">
        <w:rPr>
          <w:rFonts w:asciiTheme="minorHAnsi" w:hAnsiTheme="minorHAnsi" w:cs="Segoe UI"/>
          <w:sz w:val="18"/>
          <w:szCs w:val="18"/>
        </w:rPr>
        <w:t xml:space="preserve">, D. and </w:t>
      </w:r>
      <w:proofErr w:type="spellStart"/>
      <w:r w:rsidRPr="00210EEC">
        <w:rPr>
          <w:rFonts w:asciiTheme="minorHAnsi" w:hAnsiTheme="minorHAnsi" w:cs="Segoe UI"/>
          <w:sz w:val="18"/>
          <w:szCs w:val="18"/>
        </w:rPr>
        <w:t>Vaahtoranta</w:t>
      </w:r>
      <w:proofErr w:type="spellEnd"/>
      <w:r w:rsidRPr="00210EEC">
        <w:rPr>
          <w:rFonts w:asciiTheme="minorHAnsi" w:hAnsiTheme="minorHAnsi" w:cs="Segoe UI"/>
          <w:sz w:val="18"/>
          <w:szCs w:val="18"/>
        </w:rPr>
        <w:t xml:space="preserve">, T. (1994). The interest-based explanation of international environmental policy. </w:t>
      </w:r>
      <w:r w:rsidRPr="00210EEC">
        <w:rPr>
          <w:rFonts w:asciiTheme="minorHAnsi" w:hAnsiTheme="minorHAnsi" w:cs="Segoe UI"/>
          <w:i/>
          <w:iCs/>
          <w:sz w:val="18"/>
          <w:szCs w:val="18"/>
        </w:rPr>
        <w:t>International Organization</w:t>
      </w:r>
      <w:r w:rsidRPr="00210EEC">
        <w:rPr>
          <w:rFonts w:asciiTheme="minorHAnsi" w:hAnsiTheme="minorHAnsi" w:cs="Segoe UI"/>
          <w:sz w:val="18"/>
          <w:szCs w:val="18"/>
        </w:rPr>
        <w:t xml:space="preserve"> 48(1), 77-105. </w:t>
      </w:r>
      <w:hyperlink r:id="rId136" w:history="1">
        <w:r w:rsidR="00210EEC" w:rsidRPr="003D09EF">
          <w:rPr>
            <w:rStyle w:val="Hyperlink"/>
            <w:rFonts w:asciiTheme="minorHAnsi" w:hAnsiTheme="minorHAnsi" w:cs="Segoe UI"/>
            <w:sz w:val="18"/>
            <w:szCs w:val="18"/>
          </w:rPr>
          <w:t>https://doi.org/10.1017/S0020818300000825</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006EAA13"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07F4DEE" w14:textId="1E01FB53"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Stadelmann</w:t>
      </w:r>
      <w:proofErr w:type="spellEnd"/>
      <w:r w:rsidRPr="00210EEC">
        <w:rPr>
          <w:rFonts w:asciiTheme="minorHAnsi" w:hAnsiTheme="minorHAnsi" w:cs="Segoe UI"/>
          <w:sz w:val="18"/>
          <w:szCs w:val="18"/>
        </w:rPr>
        <w:t xml:space="preserve">, M. and Castro, P. (2014). Climate policy innovation in the South – Domestic and international determinants of renewable energy policies in developing and emerging countries. </w:t>
      </w:r>
      <w:r w:rsidRPr="00210EEC">
        <w:rPr>
          <w:rFonts w:asciiTheme="minorHAnsi" w:hAnsiTheme="minorHAnsi" w:cs="Segoe UI"/>
          <w:i/>
          <w:iCs/>
          <w:sz w:val="18"/>
          <w:szCs w:val="18"/>
        </w:rPr>
        <w:t>Global Environmental Change</w:t>
      </w:r>
      <w:r w:rsidRPr="00210EEC">
        <w:rPr>
          <w:rFonts w:asciiTheme="minorHAnsi" w:hAnsiTheme="minorHAnsi" w:cs="Segoe UI"/>
          <w:sz w:val="18"/>
          <w:szCs w:val="18"/>
        </w:rPr>
        <w:t xml:space="preserve"> 29, 413-423. </w:t>
      </w:r>
      <w:hyperlink r:id="rId137" w:history="1">
        <w:r w:rsidR="00210EEC" w:rsidRPr="003D09EF">
          <w:rPr>
            <w:rStyle w:val="Hyperlink"/>
            <w:rFonts w:asciiTheme="minorHAnsi" w:hAnsiTheme="minorHAnsi" w:cs="Segoe UI"/>
            <w:sz w:val="18"/>
            <w:szCs w:val="18"/>
          </w:rPr>
          <w:t>https://doi.org/10.1016/j.gloenvcha.2014.04.011</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1EDD71B1"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05F4431" w14:textId="64C1B379"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Stokke</w:t>
      </w:r>
      <w:proofErr w:type="spellEnd"/>
      <w:r w:rsidRPr="00210EEC">
        <w:rPr>
          <w:rFonts w:asciiTheme="minorHAnsi" w:hAnsiTheme="minorHAnsi" w:cs="Segoe UI"/>
          <w:sz w:val="18"/>
          <w:szCs w:val="18"/>
        </w:rPr>
        <w:t xml:space="preserve">, O.S. (ed.) (2001). </w:t>
      </w:r>
      <w:r w:rsidRPr="00210EEC">
        <w:rPr>
          <w:rFonts w:asciiTheme="minorHAnsi" w:hAnsiTheme="minorHAnsi" w:cs="Segoe UI"/>
          <w:i/>
          <w:iCs/>
          <w:sz w:val="18"/>
          <w:szCs w:val="18"/>
        </w:rPr>
        <w:t>Governing High Seas Fisheries: The Interplay of Global and Regional Regimes</w:t>
      </w:r>
      <w:r w:rsidRPr="00210EEC">
        <w:rPr>
          <w:rFonts w:asciiTheme="minorHAnsi" w:hAnsiTheme="minorHAnsi" w:cs="Segoe UI"/>
          <w:sz w:val="18"/>
          <w:szCs w:val="18"/>
        </w:rPr>
        <w:t xml:space="preserve">. Oxford: Oxford University Press. </w:t>
      </w:r>
      <w:hyperlink r:id="rId138" w:history="1">
        <w:r w:rsidR="00210EEC" w:rsidRPr="003D09EF">
          <w:rPr>
            <w:rStyle w:val="Hyperlink"/>
            <w:rFonts w:asciiTheme="minorHAnsi" w:hAnsiTheme="minorHAnsi" w:cs="Segoe UI"/>
            <w:sz w:val="18"/>
            <w:szCs w:val="18"/>
          </w:rPr>
          <w:t>https://global.oup.com/academic/product/governing-high-seas-fisheries-9780198299493?cc=ke&amp;lang=en&amp;</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1C7E66D"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CDFC4E3" w14:textId="332B934A"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Telli</w:t>
      </w:r>
      <w:proofErr w:type="spellEnd"/>
      <w:r w:rsidRPr="00210EEC">
        <w:rPr>
          <w:rFonts w:asciiTheme="minorHAnsi" w:hAnsiTheme="minorHAnsi" w:cs="Segoe UI"/>
          <w:sz w:val="18"/>
          <w:szCs w:val="18"/>
        </w:rPr>
        <w:t xml:space="preserve">, Ç., </w:t>
      </w:r>
      <w:proofErr w:type="spellStart"/>
      <w:r w:rsidRPr="00210EEC">
        <w:rPr>
          <w:rFonts w:asciiTheme="minorHAnsi" w:hAnsiTheme="minorHAnsi" w:cs="Segoe UI"/>
          <w:sz w:val="18"/>
          <w:szCs w:val="18"/>
        </w:rPr>
        <w:t>Voyvoda</w:t>
      </w:r>
      <w:proofErr w:type="spellEnd"/>
      <w:r w:rsidRPr="00210EEC">
        <w:rPr>
          <w:rFonts w:asciiTheme="minorHAnsi" w:hAnsiTheme="minorHAnsi" w:cs="Segoe UI"/>
          <w:sz w:val="18"/>
          <w:szCs w:val="18"/>
        </w:rPr>
        <w:t xml:space="preserve">, E. and </w:t>
      </w:r>
      <w:proofErr w:type="spellStart"/>
      <w:r w:rsidRPr="00210EEC">
        <w:rPr>
          <w:rFonts w:asciiTheme="minorHAnsi" w:hAnsiTheme="minorHAnsi" w:cs="Segoe UI"/>
          <w:sz w:val="18"/>
          <w:szCs w:val="18"/>
        </w:rPr>
        <w:t>Yeldan</w:t>
      </w:r>
      <w:proofErr w:type="spellEnd"/>
      <w:r w:rsidRPr="00210EEC">
        <w:rPr>
          <w:rFonts w:asciiTheme="minorHAnsi" w:hAnsiTheme="minorHAnsi" w:cs="Segoe UI"/>
          <w:sz w:val="18"/>
          <w:szCs w:val="18"/>
        </w:rPr>
        <w:t xml:space="preserve">, E. (2008). Economics of environmental policy in Turkey: A general equilibrium investigation of the economic evaluation of sectoral emission reduction policies for climate change. </w:t>
      </w:r>
      <w:r w:rsidRPr="00210EEC">
        <w:rPr>
          <w:rFonts w:asciiTheme="minorHAnsi" w:hAnsiTheme="minorHAnsi" w:cs="Segoe UI"/>
          <w:i/>
          <w:iCs/>
          <w:sz w:val="18"/>
          <w:szCs w:val="18"/>
        </w:rPr>
        <w:t xml:space="preserve">Journal of Policy </w:t>
      </w:r>
      <w:proofErr w:type="spellStart"/>
      <w:r w:rsidRPr="00210EEC">
        <w:rPr>
          <w:rFonts w:asciiTheme="minorHAnsi" w:hAnsiTheme="minorHAnsi" w:cs="Segoe UI"/>
          <w:i/>
          <w:iCs/>
          <w:sz w:val="18"/>
          <w:szCs w:val="18"/>
        </w:rPr>
        <w:t>Modeling</w:t>
      </w:r>
      <w:proofErr w:type="spellEnd"/>
      <w:r w:rsidRPr="00210EEC">
        <w:rPr>
          <w:rFonts w:asciiTheme="minorHAnsi" w:hAnsiTheme="minorHAnsi" w:cs="Segoe UI"/>
          <w:sz w:val="18"/>
          <w:szCs w:val="18"/>
        </w:rPr>
        <w:t xml:space="preserve"> 30(2), 321-340. </w:t>
      </w:r>
      <w:hyperlink r:id="rId139" w:history="1">
        <w:r w:rsidR="00210EEC" w:rsidRPr="003D09EF">
          <w:rPr>
            <w:rStyle w:val="Hyperlink"/>
            <w:rFonts w:asciiTheme="minorHAnsi" w:hAnsiTheme="minorHAnsi" w:cs="Segoe UI"/>
            <w:sz w:val="18"/>
            <w:szCs w:val="18"/>
          </w:rPr>
          <w:t>https://doi.org/10.1016/j.jpolmod.2007.03.001</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F914688"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34B91DD" w14:textId="32A1D1AD"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Tews</w:t>
      </w:r>
      <w:proofErr w:type="spellEnd"/>
      <w:r w:rsidRPr="00210EEC">
        <w:rPr>
          <w:rFonts w:asciiTheme="minorHAnsi" w:hAnsiTheme="minorHAnsi" w:cs="Segoe UI"/>
          <w:sz w:val="18"/>
          <w:szCs w:val="18"/>
        </w:rPr>
        <w:t xml:space="preserve">, K., Busch, P.O. and </w:t>
      </w:r>
      <w:proofErr w:type="spellStart"/>
      <w:r w:rsidRPr="00210EEC">
        <w:rPr>
          <w:rFonts w:asciiTheme="minorHAnsi" w:hAnsiTheme="minorHAnsi" w:cs="Segoe UI"/>
          <w:sz w:val="18"/>
          <w:szCs w:val="18"/>
        </w:rPr>
        <w:t>Jörgens</w:t>
      </w:r>
      <w:proofErr w:type="spellEnd"/>
      <w:r w:rsidRPr="00210EEC">
        <w:rPr>
          <w:rFonts w:asciiTheme="minorHAnsi" w:hAnsiTheme="minorHAnsi" w:cs="Segoe UI"/>
          <w:sz w:val="18"/>
          <w:szCs w:val="18"/>
        </w:rPr>
        <w:t xml:space="preserve">, H. (2003). The diffusion of new environmental policy instruments. </w:t>
      </w:r>
      <w:r w:rsidRPr="00210EEC">
        <w:rPr>
          <w:rFonts w:asciiTheme="minorHAnsi" w:hAnsiTheme="minorHAnsi" w:cs="Segoe UI"/>
          <w:i/>
          <w:iCs/>
          <w:sz w:val="18"/>
          <w:szCs w:val="18"/>
        </w:rPr>
        <w:t>European Journal of Political Research</w:t>
      </w:r>
      <w:r w:rsidRPr="00210EEC">
        <w:rPr>
          <w:rFonts w:asciiTheme="minorHAnsi" w:hAnsiTheme="minorHAnsi" w:cs="Segoe UI"/>
          <w:sz w:val="18"/>
          <w:szCs w:val="18"/>
        </w:rPr>
        <w:t xml:space="preserve"> 42(4), 569-600. </w:t>
      </w:r>
      <w:hyperlink r:id="rId140" w:history="1">
        <w:r w:rsidR="00210EEC" w:rsidRPr="003D09EF">
          <w:rPr>
            <w:rStyle w:val="Hyperlink"/>
            <w:rFonts w:asciiTheme="minorHAnsi" w:hAnsiTheme="minorHAnsi" w:cs="Segoe UI"/>
            <w:sz w:val="18"/>
            <w:szCs w:val="18"/>
          </w:rPr>
          <w:t>https://doi.org/10.1111/1475-6765.00096</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527CFE9"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35FE49A" w14:textId="7C5E0A10"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Turnpenny</w:t>
      </w:r>
      <w:proofErr w:type="spellEnd"/>
      <w:r w:rsidRPr="00210EEC">
        <w:rPr>
          <w:rFonts w:asciiTheme="minorHAnsi" w:hAnsiTheme="minorHAnsi" w:cs="Segoe UI"/>
          <w:sz w:val="18"/>
          <w:szCs w:val="18"/>
        </w:rPr>
        <w:t xml:space="preserve">, J., </w:t>
      </w:r>
      <w:proofErr w:type="spellStart"/>
      <w:r w:rsidRPr="00210EEC">
        <w:rPr>
          <w:rFonts w:asciiTheme="minorHAnsi" w:hAnsiTheme="minorHAnsi" w:cs="Segoe UI"/>
          <w:sz w:val="18"/>
          <w:szCs w:val="18"/>
        </w:rPr>
        <w:t>Radaelli</w:t>
      </w:r>
      <w:proofErr w:type="spellEnd"/>
      <w:r w:rsidRPr="00210EEC">
        <w:rPr>
          <w:rFonts w:asciiTheme="minorHAnsi" w:hAnsiTheme="minorHAnsi" w:cs="Segoe UI"/>
          <w:sz w:val="18"/>
          <w:szCs w:val="18"/>
        </w:rPr>
        <w:t xml:space="preserve">, C.M., Jordan, A. and Jacob, K. (2009). The policy and politics of policy appraisal: Emerging trends and new directions. </w:t>
      </w:r>
      <w:r w:rsidRPr="00210EEC">
        <w:rPr>
          <w:rFonts w:asciiTheme="minorHAnsi" w:hAnsiTheme="minorHAnsi" w:cs="Segoe UI"/>
          <w:i/>
          <w:iCs/>
          <w:sz w:val="18"/>
          <w:szCs w:val="18"/>
        </w:rPr>
        <w:t>Journal of European Public Policy</w:t>
      </w:r>
      <w:r w:rsidRPr="00210EEC">
        <w:rPr>
          <w:rFonts w:asciiTheme="minorHAnsi" w:hAnsiTheme="minorHAnsi" w:cs="Segoe UI"/>
          <w:sz w:val="18"/>
          <w:szCs w:val="18"/>
        </w:rPr>
        <w:t xml:space="preserve"> 16(4), 640-653. </w:t>
      </w:r>
      <w:hyperlink r:id="rId141" w:history="1">
        <w:r w:rsidR="00210EEC" w:rsidRPr="003D09EF">
          <w:rPr>
            <w:rStyle w:val="Hyperlink"/>
            <w:rFonts w:asciiTheme="minorHAnsi" w:hAnsiTheme="minorHAnsi" w:cs="Segoe UI"/>
            <w:sz w:val="18"/>
            <w:szCs w:val="18"/>
          </w:rPr>
          <w:t>https://doi.org/10.1080/13501760902872783</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0D1C250"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2A182CCA" w14:textId="05014C4A"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Underdal</w:t>
      </w:r>
      <w:proofErr w:type="spellEnd"/>
      <w:r w:rsidRPr="00210EEC">
        <w:rPr>
          <w:rFonts w:asciiTheme="minorHAnsi" w:hAnsiTheme="minorHAnsi" w:cs="Segoe UI"/>
          <w:sz w:val="18"/>
          <w:szCs w:val="18"/>
        </w:rPr>
        <w:t xml:space="preserve">, A. (1983). Causes of negotiation ‘failure’. </w:t>
      </w:r>
      <w:r w:rsidRPr="00210EEC">
        <w:rPr>
          <w:rFonts w:asciiTheme="minorHAnsi" w:hAnsiTheme="minorHAnsi" w:cs="Segoe UI"/>
          <w:i/>
          <w:iCs/>
          <w:sz w:val="18"/>
          <w:szCs w:val="18"/>
        </w:rPr>
        <w:t>European Journal of Political Research</w:t>
      </w:r>
      <w:r w:rsidRPr="00210EEC">
        <w:rPr>
          <w:rFonts w:asciiTheme="minorHAnsi" w:hAnsiTheme="minorHAnsi" w:cs="Segoe UI"/>
          <w:sz w:val="18"/>
          <w:szCs w:val="18"/>
        </w:rPr>
        <w:t xml:space="preserve"> 11, 183-195. </w:t>
      </w:r>
      <w:hyperlink r:id="rId142" w:history="1">
        <w:r w:rsidR="00210EEC" w:rsidRPr="003D09EF">
          <w:rPr>
            <w:rStyle w:val="Hyperlink"/>
            <w:rFonts w:asciiTheme="minorHAnsi" w:hAnsiTheme="minorHAnsi" w:cs="Segoe UI"/>
            <w:sz w:val="18"/>
            <w:szCs w:val="18"/>
          </w:rPr>
          <w:t>https://doi.org/10.1111/j.1475-6765.1983.tb00055.x</w:t>
        </w:r>
      </w:hyperlink>
      <w:r w:rsidR="00210EEC">
        <w:rPr>
          <w:rFonts w:asciiTheme="minorHAnsi" w:hAnsiTheme="minorHAnsi" w:cs="Segoe UI"/>
          <w:sz w:val="18"/>
          <w:szCs w:val="18"/>
        </w:rPr>
        <w:t xml:space="preserve"> </w:t>
      </w:r>
      <w:r w:rsidRPr="00210EEC">
        <w:rPr>
          <w:rFonts w:asciiTheme="minorHAnsi" w:hAnsiTheme="minorHAnsi" w:cs="Segoe UI"/>
          <w:sz w:val="18"/>
          <w:szCs w:val="18"/>
        </w:rPr>
        <w:t xml:space="preserve"> </w:t>
      </w:r>
      <w:r w:rsidR="00210EEC">
        <w:rPr>
          <w:rFonts w:asciiTheme="minorHAnsi" w:hAnsiTheme="minorHAnsi" w:cs="Segoe UI"/>
          <w:sz w:val="18"/>
          <w:szCs w:val="18"/>
        </w:rPr>
        <w:t xml:space="preserve"> </w:t>
      </w:r>
    </w:p>
    <w:p w14:paraId="7C7AFDE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56C3DF3" w14:textId="3ABCFFE0"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United Kingdom, Department of Energy and Climate Change, (2009). </w:t>
      </w:r>
      <w:r w:rsidRPr="00210EEC">
        <w:rPr>
          <w:rFonts w:asciiTheme="minorHAnsi" w:hAnsiTheme="minorHAnsi" w:cs="Segoe UI"/>
          <w:i/>
          <w:iCs/>
          <w:sz w:val="18"/>
          <w:szCs w:val="18"/>
        </w:rPr>
        <w:t>Carbon Valuation in UK Policy Appraisal: A Revised Approach.</w:t>
      </w:r>
      <w:r w:rsidRPr="00210EEC">
        <w:rPr>
          <w:rFonts w:asciiTheme="minorHAnsi" w:hAnsiTheme="minorHAnsi" w:cs="Segoe UI"/>
          <w:sz w:val="18"/>
          <w:szCs w:val="18"/>
        </w:rPr>
        <w:t xml:space="preserve"> London. </w:t>
      </w:r>
      <w:hyperlink r:id="rId143" w:history="1">
        <w:r w:rsidR="00210EEC" w:rsidRPr="003D09EF">
          <w:rPr>
            <w:rStyle w:val="Hyperlink"/>
            <w:rFonts w:asciiTheme="minorHAnsi" w:hAnsiTheme="minorHAnsi" w:cs="Segoe UI"/>
            <w:sz w:val="18"/>
            <w:szCs w:val="18"/>
          </w:rPr>
          <w:t>https://assets.publishing.service.gov.uk/government/uploads/system/uploads/attachment_data/file/245334/1_20090715105804_e____carbonvaluationinukpolicyappraisal.pdf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4914673"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448AC4E" w14:textId="055ACE40"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United Kingdom, Department for Business Innovation and Skills, (2010). </w:t>
      </w:r>
      <w:r w:rsidRPr="00210EEC">
        <w:rPr>
          <w:rFonts w:asciiTheme="minorHAnsi" w:hAnsiTheme="minorHAnsi" w:cs="Segoe UI"/>
          <w:i/>
          <w:iCs/>
          <w:sz w:val="18"/>
          <w:szCs w:val="18"/>
        </w:rPr>
        <w:t>Impact Assessment Toolkit. A Guide to Undertaking an Impact Assessment and Completing the IA Template.</w:t>
      </w:r>
      <w:r w:rsidRPr="00210EEC">
        <w:rPr>
          <w:rFonts w:asciiTheme="minorHAnsi" w:hAnsiTheme="minorHAnsi" w:cs="Segoe UI"/>
          <w:sz w:val="18"/>
          <w:szCs w:val="18"/>
        </w:rPr>
        <w:t xml:space="preserve"> London. </w:t>
      </w:r>
      <w:hyperlink r:id="rId144" w:history="1">
        <w:r w:rsidR="00210EEC" w:rsidRPr="003D09EF">
          <w:rPr>
            <w:rStyle w:val="Hyperlink"/>
            <w:rFonts w:asciiTheme="minorHAnsi" w:hAnsiTheme="minorHAnsi" w:cs="Segoe UI"/>
            <w:sz w:val="18"/>
            <w:szCs w:val="18"/>
          </w:rPr>
          <w:t>http://webarchive.nationalarchives.gov.uk/20110120023243/http://www.bis.gov.uk/assets/biscore/better-regulation/docs/10-901-impact-assessment-toolkit.pdf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306EFFE"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C31E44C" w14:textId="0BE6D9CD"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United Kingdom Environmental Protection Agency (2018). </w:t>
      </w:r>
      <w:r w:rsidRPr="00210EEC">
        <w:rPr>
          <w:rFonts w:asciiTheme="minorHAnsi" w:hAnsiTheme="minorHAnsi" w:cs="Segoe UI"/>
          <w:i/>
          <w:iCs/>
          <w:sz w:val="18"/>
          <w:szCs w:val="18"/>
        </w:rPr>
        <w:t>Strategic environmental assessment</w:t>
      </w:r>
      <w:r w:rsidRPr="00210EEC">
        <w:rPr>
          <w:rFonts w:asciiTheme="minorHAnsi" w:hAnsiTheme="minorHAnsi" w:cs="Segoe UI"/>
          <w:sz w:val="18"/>
          <w:szCs w:val="18"/>
        </w:rPr>
        <w:t>. [</w:t>
      </w:r>
      <w:r w:rsidR="00210EEC" w:rsidRPr="00210EEC">
        <w:rPr>
          <w:rFonts w:asciiTheme="minorHAnsi" w:hAnsiTheme="minorHAnsi" w:cs="Segoe UI"/>
          <w:sz w:val="18"/>
          <w:szCs w:val="18"/>
        </w:rPr>
        <w:t>http://www.epa.ie/monitoringassessment/assessment/sea/</w:t>
      </w:r>
      <w:r w:rsidR="00210EEC">
        <w:rPr>
          <w:rFonts w:asciiTheme="minorHAnsi" w:hAnsiTheme="minorHAnsi" w:cs="Segoe UI"/>
          <w:sz w:val="18"/>
          <w:szCs w:val="18"/>
        </w:rPr>
        <w:t xml:space="preserve"> </w:t>
      </w:r>
    </w:p>
    <w:p w14:paraId="51102FB8"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75038646" w14:textId="361DCEF1"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United Nations (2005). </w:t>
      </w:r>
      <w:r w:rsidRPr="00210EEC">
        <w:rPr>
          <w:rFonts w:asciiTheme="minorHAnsi" w:hAnsiTheme="minorHAnsi" w:cs="Segoe UI"/>
          <w:i/>
          <w:iCs/>
          <w:sz w:val="18"/>
          <w:szCs w:val="18"/>
        </w:rPr>
        <w:t>Review of the Application of Environmental Impact Assessment in Selected African Countries.</w:t>
      </w:r>
      <w:r w:rsidRPr="00210EEC">
        <w:rPr>
          <w:rFonts w:asciiTheme="minorHAnsi" w:hAnsiTheme="minorHAnsi" w:cs="Segoe UI"/>
          <w:sz w:val="18"/>
          <w:szCs w:val="18"/>
        </w:rPr>
        <w:t xml:space="preserve"> Addis Ababa. </w:t>
      </w:r>
      <w:hyperlink r:id="rId145" w:history="1">
        <w:r w:rsidR="00210EEC" w:rsidRPr="003D09EF">
          <w:rPr>
            <w:rStyle w:val="Hyperlink"/>
            <w:rFonts w:asciiTheme="minorHAnsi" w:hAnsiTheme="minorHAnsi" w:cs="Segoe UI"/>
            <w:sz w:val="18"/>
            <w:szCs w:val="18"/>
          </w:rPr>
          <w:t>http://repository.uneca.org/bitstream/handle/10855/5607/bib.%2041846_I.pdf?sequence=1</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34322DE"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19D66CD" w14:textId="7D85BFF0"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United Nations (2017). </w:t>
      </w:r>
      <w:r w:rsidRPr="00210EEC">
        <w:rPr>
          <w:rFonts w:asciiTheme="minorHAnsi" w:hAnsiTheme="minorHAnsi" w:cs="Segoe UI"/>
          <w:i/>
          <w:iCs/>
          <w:sz w:val="18"/>
          <w:szCs w:val="18"/>
        </w:rPr>
        <w:t>Voluntary National Reviews 2017 Synthesis Report.</w:t>
      </w:r>
      <w:r w:rsidRPr="00210EEC">
        <w:rPr>
          <w:rFonts w:asciiTheme="minorHAnsi" w:hAnsiTheme="minorHAnsi" w:cs="Segoe UI"/>
          <w:sz w:val="18"/>
          <w:szCs w:val="18"/>
        </w:rPr>
        <w:t xml:space="preserve"> New York, NY. </w:t>
      </w:r>
      <w:hyperlink r:id="rId146" w:history="1">
        <w:r w:rsidR="00210EEC" w:rsidRPr="003D09EF">
          <w:rPr>
            <w:rStyle w:val="Hyperlink"/>
            <w:rFonts w:asciiTheme="minorHAnsi" w:hAnsiTheme="minorHAnsi" w:cs="Segoe UI"/>
            <w:sz w:val="18"/>
            <w:szCs w:val="18"/>
          </w:rPr>
          <w:t>https://sustainabledevelopment.un.org/content/documents/17109Synthesis_Report_VNRs_2017.pdf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E7DC39A"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9C5D1D2" w14:textId="6E5CAD43"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United Nations Environment Programme (2011). </w:t>
      </w:r>
      <w:r w:rsidRPr="00210EEC">
        <w:rPr>
          <w:rFonts w:asciiTheme="minorHAnsi" w:hAnsiTheme="minorHAnsi" w:cs="Segoe UI"/>
          <w:i/>
          <w:iCs/>
          <w:sz w:val="18"/>
          <w:szCs w:val="18"/>
        </w:rPr>
        <w:t>Towards a Green Economy: Pathways to Sustainable Development and Poverty Eradication: A Synthesis for Policy Makers.</w:t>
      </w:r>
      <w:r w:rsidRPr="00210EEC">
        <w:rPr>
          <w:rFonts w:asciiTheme="minorHAnsi" w:hAnsiTheme="minorHAnsi" w:cs="Segoe UI"/>
          <w:sz w:val="18"/>
          <w:szCs w:val="18"/>
        </w:rPr>
        <w:t xml:space="preserve"> Nairobi: United Nations Environment Programme. </w:t>
      </w:r>
      <w:hyperlink r:id="rId147" w:history="1">
        <w:r w:rsidR="00210EEC" w:rsidRPr="003D09EF">
          <w:rPr>
            <w:rStyle w:val="Hyperlink"/>
            <w:rFonts w:asciiTheme="minorHAnsi" w:hAnsiTheme="minorHAnsi" w:cs="Segoe UI"/>
            <w:sz w:val="18"/>
            <w:szCs w:val="18"/>
          </w:rPr>
          <w:t>https://sustainabledevelopment.un.org/content/documents/126GER_synthesis_en.pdf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650F4E43"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73A4C8A" w14:textId="64195C5F"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United Nations General Assembly (2015). </w:t>
      </w:r>
      <w:r w:rsidRPr="00210EEC">
        <w:rPr>
          <w:rFonts w:asciiTheme="minorHAnsi" w:hAnsiTheme="minorHAnsi" w:cs="Segoe UI"/>
          <w:i/>
          <w:iCs/>
          <w:sz w:val="18"/>
          <w:szCs w:val="18"/>
        </w:rPr>
        <w:t>Transforming Our World: The 2030 Agenda for Sustainable Development. A/RES/70/1.</w:t>
      </w:r>
      <w:r w:rsidRPr="00210EEC">
        <w:rPr>
          <w:rFonts w:asciiTheme="minorHAnsi" w:hAnsiTheme="minorHAnsi" w:cs="Segoe UI"/>
          <w:sz w:val="18"/>
          <w:szCs w:val="18"/>
        </w:rPr>
        <w:t xml:space="preserve"> New York; NY. </w:t>
      </w:r>
      <w:hyperlink r:id="rId148" w:history="1">
        <w:r w:rsidR="00210EEC" w:rsidRPr="003D09EF">
          <w:rPr>
            <w:rStyle w:val="Hyperlink"/>
            <w:rFonts w:asciiTheme="minorHAnsi" w:hAnsiTheme="minorHAnsi" w:cs="Segoe UI"/>
            <w:sz w:val="18"/>
            <w:szCs w:val="18"/>
          </w:rPr>
          <w:t>http://www.un.org/ga/search/view_doc.asp?symbol=A/RES/70/1&amp;Lang=E</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29708B3"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7358834" w14:textId="1CFB887E"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Uslu</w:t>
      </w:r>
      <w:proofErr w:type="spellEnd"/>
      <w:r w:rsidRPr="00210EEC">
        <w:rPr>
          <w:rFonts w:asciiTheme="minorHAnsi" w:hAnsiTheme="minorHAnsi" w:cs="Segoe UI"/>
          <w:sz w:val="18"/>
          <w:szCs w:val="18"/>
        </w:rPr>
        <w:t xml:space="preserve">, A., </w:t>
      </w:r>
      <w:proofErr w:type="spellStart"/>
      <w:r w:rsidRPr="00210EEC">
        <w:rPr>
          <w:rFonts w:asciiTheme="minorHAnsi" w:hAnsiTheme="minorHAnsi" w:cs="Segoe UI"/>
          <w:sz w:val="18"/>
          <w:szCs w:val="18"/>
        </w:rPr>
        <w:t>Mozaffarian</w:t>
      </w:r>
      <w:proofErr w:type="spellEnd"/>
      <w:r w:rsidRPr="00210EEC">
        <w:rPr>
          <w:rFonts w:asciiTheme="minorHAnsi" w:hAnsiTheme="minorHAnsi" w:cs="Segoe UI"/>
          <w:sz w:val="18"/>
          <w:szCs w:val="18"/>
        </w:rPr>
        <w:t xml:space="preserve">, H. and van </w:t>
      </w:r>
      <w:proofErr w:type="spellStart"/>
      <w:r w:rsidRPr="00210EEC">
        <w:rPr>
          <w:rFonts w:asciiTheme="minorHAnsi" w:hAnsiTheme="minorHAnsi" w:cs="Segoe UI"/>
          <w:sz w:val="18"/>
          <w:szCs w:val="18"/>
        </w:rPr>
        <w:t>Stralen</w:t>
      </w:r>
      <w:proofErr w:type="spellEnd"/>
      <w:r w:rsidRPr="00210EEC">
        <w:rPr>
          <w:rFonts w:asciiTheme="minorHAnsi" w:hAnsiTheme="minorHAnsi" w:cs="Segoe UI"/>
          <w:sz w:val="18"/>
          <w:szCs w:val="18"/>
        </w:rPr>
        <w:t xml:space="preserve">, J. (2016). </w:t>
      </w:r>
      <w:r w:rsidRPr="00210EEC">
        <w:rPr>
          <w:rFonts w:asciiTheme="minorHAnsi" w:hAnsiTheme="minorHAnsi" w:cs="Segoe UI"/>
          <w:i/>
          <w:iCs/>
          <w:sz w:val="18"/>
          <w:szCs w:val="18"/>
        </w:rPr>
        <w:t>Deliverable 3.2: Benchmarking Bioenergy Policies in Europe.</w:t>
      </w:r>
      <w:r w:rsidRPr="00210EEC">
        <w:rPr>
          <w:rFonts w:asciiTheme="minorHAnsi" w:hAnsiTheme="minorHAnsi" w:cs="Segoe UI"/>
          <w:sz w:val="18"/>
          <w:szCs w:val="18"/>
        </w:rPr>
        <w:t xml:space="preserve"> Strategic Initiative for Resource Efficient Biomass Policies. Brussels: European Union. </w:t>
      </w:r>
      <w:hyperlink r:id="rId149" w:history="1">
        <w:r w:rsidR="00210EEC" w:rsidRPr="003D09EF">
          <w:rPr>
            <w:rStyle w:val="Hyperlink"/>
            <w:rFonts w:asciiTheme="minorHAnsi" w:hAnsiTheme="minorHAnsi" w:cs="Segoe UI"/>
            <w:sz w:val="18"/>
            <w:szCs w:val="18"/>
          </w:rPr>
          <w:t>https://www.ecn.nl/publicaties/PdfFetch.aspx?nr=ECN-O--16-009</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0BB7102E"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8F46DA9" w14:textId="023B9640"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Voigt, S. (2013). How (Not) to measure institutions. </w:t>
      </w:r>
      <w:r w:rsidRPr="00210EEC">
        <w:rPr>
          <w:rFonts w:asciiTheme="minorHAnsi" w:hAnsiTheme="minorHAnsi" w:cs="Segoe UI"/>
          <w:i/>
          <w:iCs/>
          <w:sz w:val="18"/>
          <w:szCs w:val="18"/>
        </w:rPr>
        <w:t>Journal of Institutional Economics</w:t>
      </w:r>
      <w:r w:rsidRPr="00210EEC">
        <w:rPr>
          <w:rFonts w:asciiTheme="minorHAnsi" w:hAnsiTheme="minorHAnsi" w:cs="Segoe UI"/>
          <w:sz w:val="18"/>
          <w:szCs w:val="18"/>
        </w:rPr>
        <w:t xml:space="preserve"> 9(1), 1-26. </w:t>
      </w:r>
      <w:hyperlink r:id="rId150" w:history="1">
        <w:r w:rsidR="00210EEC" w:rsidRPr="003D09EF">
          <w:rPr>
            <w:rStyle w:val="Hyperlink"/>
            <w:rFonts w:asciiTheme="minorHAnsi" w:hAnsiTheme="minorHAnsi" w:cs="Segoe UI"/>
            <w:sz w:val="18"/>
            <w:szCs w:val="18"/>
          </w:rPr>
          <w:t>https://doi.org/10.1017/s1744137412000148</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41FA1A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C89FC94" w14:textId="2AB23313"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lastRenderedPageBreak/>
        <w:t xml:space="preserve">Von Stein, J. (2005). Do treaties constrain or screen? Selection bias and treaty compliance. </w:t>
      </w:r>
      <w:r w:rsidRPr="00210EEC">
        <w:rPr>
          <w:rFonts w:asciiTheme="minorHAnsi" w:hAnsiTheme="minorHAnsi" w:cs="Segoe UI"/>
          <w:i/>
          <w:iCs/>
          <w:sz w:val="18"/>
          <w:szCs w:val="18"/>
        </w:rPr>
        <w:t>American Political Science Review</w:t>
      </w:r>
      <w:r w:rsidRPr="00210EEC">
        <w:rPr>
          <w:rFonts w:asciiTheme="minorHAnsi" w:hAnsiTheme="minorHAnsi" w:cs="Segoe UI"/>
          <w:sz w:val="18"/>
          <w:szCs w:val="18"/>
        </w:rPr>
        <w:t xml:space="preserve"> 99(4), 611-622. </w:t>
      </w:r>
      <w:hyperlink r:id="rId151" w:history="1">
        <w:r w:rsidR="00210EEC" w:rsidRPr="003D09EF">
          <w:rPr>
            <w:rStyle w:val="Hyperlink"/>
            <w:rFonts w:asciiTheme="minorHAnsi" w:hAnsiTheme="minorHAnsi" w:cs="Segoe UI"/>
            <w:sz w:val="18"/>
            <w:szCs w:val="18"/>
          </w:rPr>
          <w:t>https://doi.org/10.1017/s0003055405051919</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04ABA358"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7A617E6" w14:textId="5D934840"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Weber, M., Driessen, P.P.J. and </w:t>
      </w:r>
      <w:proofErr w:type="spellStart"/>
      <w:r w:rsidRPr="00210EEC">
        <w:rPr>
          <w:rFonts w:asciiTheme="minorHAnsi" w:hAnsiTheme="minorHAnsi" w:cs="Segoe UI"/>
          <w:sz w:val="18"/>
          <w:szCs w:val="18"/>
        </w:rPr>
        <w:t>Runhaar</w:t>
      </w:r>
      <w:proofErr w:type="spellEnd"/>
      <w:r w:rsidRPr="00210EEC">
        <w:rPr>
          <w:rFonts w:asciiTheme="minorHAnsi" w:hAnsiTheme="minorHAnsi" w:cs="Segoe UI"/>
          <w:sz w:val="18"/>
          <w:szCs w:val="18"/>
        </w:rPr>
        <w:t xml:space="preserve">, H.A.C. (2013). Evaluating environmental policy instruments mixes, a methodology illustrated by noise policy in the Netherlands. </w:t>
      </w:r>
      <w:r w:rsidRPr="00210EEC">
        <w:rPr>
          <w:rFonts w:asciiTheme="minorHAnsi" w:hAnsiTheme="minorHAnsi" w:cs="Segoe UI"/>
          <w:i/>
          <w:iCs/>
          <w:sz w:val="18"/>
          <w:szCs w:val="18"/>
        </w:rPr>
        <w:t>Journal of Environmental Planning and Management</w:t>
      </w:r>
      <w:r w:rsidRPr="00210EEC">
        <w:rPr>
          <w:rFonts w:asciiTheme="minorHAnsi" w:hAnsiTheme="minorHAnsi" w:cs="Segoe UI"/>
          <w:sz w:val="18"/>
          <w:szCs w:val="18"/>
        </w:rPr>
        <w:t xml:space="preserve"> 57(9), 1381-1397. </w:t>
      </w:r>
      <w:hyperlink r:id="rId152" w:history="1">
        <w:r w:rsidR="00210EEC" w:rsidRPr="003D09EF">
          <w:rPr>
            <w:rStyle w:val="Hyperlink"/>
            <w:rFonts w:asciiTheme="minorHAnsi" w:hAnsiTheme="minorHAnsi" w:cs="Segoe UI"/>
            <w:sz w:val="18"/>
            <w:szCs w:val="18"/>
          </w:rPr>
          <w:t>https://doi.org/10.1080/09640568.2013.808609</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9EF9D7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08796A1A" w14:textId="5B2BBDFA"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Willenbockel</w:t>
      </w:r>
      <w:proofErr w:type="spellEnd"/>
      <w:r w:rsidRPr="00210EEC">
        <w:rPr>
          <w:rFonts w:asciiTheme="minorHAnsi" w:hAnsiTheme="minorHAnsi" w:cs="Segoe UI"/>
          <w:sz w:val="18"/>
          <w:szCs w:val="18"/>
        </w:rPr>
        <w:t xml:space="preserve">, D. (2011). </w:t>
      </w:r>
      <w:r w:rsidRPr="00210EEC">
        <w:rPr>
          <w:rFonts w:asciiTheme="minorHAnsi" w:hAnsiTheme="minorHAnsi" w:cs="Segoe UI"/>
          <w:i/>
          <w:iCs/>
          <w:sz w:val="18"/>
          <w:szCs w:val="18"/>
        </w:rPr>
        <w:t>Environmental Tax Reform in Vietnam: An Ex Ante General Equilibrium Assessment.</w:t>
      </w:r>
      <w:r w:rsidRPr="00210EEC">
        <w:rPr>
          <w:rFonts w:asciiTheme="minorHAnsi" w:hAnsiTheme="minorHAnsi" w:cs="Segoe UI"/>
          <w:sz w:val="18"/>
          <w:szCs w:val="18"/>
        </w:rPr>
        <w:t xml:space="preserve"> Institute of Development Studies at the University of Sussex. </w:t>
      </w:r>
      <w:hyperlink r:id="rId153" w:history="1">
        <w:r w:rsidR="00210EEC" w:rsidRPr="003D09EF">
          <w:rPr>
            <w:rStyle w:val="Hyperlink"/>
            <w:rFonts w:asciiTheme="minorHAnsi" w:hAnsiTheme="minorHAnsi" w:cs="Segoe UI"/>
            <w:sz w:val="18"/>
            <w:szCs w:val="18"/>
          </w:rPr>
          <w:t>https://mpra.ub.uni-muenchen.de/44411/1/MPRA_paper_44411.pdf</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4E828EF"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49772939" w14:textId="08D59E4A"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roofErr w:type="spellStart"/>
      <w:r w:rsidRPr="00210EEC">
        <w:rPr>
          <w:rFonts w:asciiTheme="minorHAnsi" w:hAnsiTheme="minorHAnsi" w:cs="Segoe UI"/>
          <w:sz w:val="18"/>
          <w:szCs w:val="18"/>
        </w:rPr>
        <w:t>Wittneben</w:t>
      </w:r>
      <w:proofErr w:type="spellEnd"/>
      <w:r w:rsidRPr="00210EEC">
        <w:rPr>
          <w:rFonts w:asciiTheme="minorHAnsi" w:hAnsiTheme="minorHAnsi" w:cs="Segoe UI"/>
          <w:sz w:val="18"/>
          <w:szCs w:val="18"/>
        </w:rPr>
        <w:t xml:space="preserve">, B.B.F. (2012). The impact of the Fukushima nuclear accident on European energy policy. </w:t>
      </w:r>
      <w:r w:rsidRPr="00210EEC">
        <w:rPr>
          <w:rFonts w:asciiTheme="minorHAnsi" w:hAnsiTheme="minorHAnsi" w:cs="Segoe UI"/>
          <w:i/>
          <w:iCs/>
          <w:sz w:val="18"/>
          <w:szCs w:val="18"/>
        </w:rPr>
        <w:t>Environmental Science &amp; Policy</w:t>
      </w:r>
      <w:r w:rsidRPr="00210EEC">
        <w:rPr>
          <w:rFonts w:asciiTheme="minorHAnsi" w:hAnsiTheme="minorHAnsi" w:cs="Segoe UI"/>
          <w:sz w:val="18"/>
          <w:szCs w:val="18"/>
        </w:rPr>
        <w:t xml:space="preserve"> 15(1), 1-3. </w:t>
      </w:r>
      <w:hyperlink r:id="rId154" w:history="1">
        <w:r w:rsidR="00210EEC" w:rsidRPr="003D09EF">
          <w:rPr>
            <w:rStyle w:val="Hyperlink"/>
            <w:rFonts w:asciiTheme="minorHAnsi" w:hAnsiTheme="minorHAnsi" w:cs="Segoe UI"/>
            <w:sz w:val="18"/>
            <w:szCs w:val="18"/>
          </w:rPr>
          <w:t>https://doi.org/10.1016/J.ENVSCI.2011.09.002</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B7545B9"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D00B820" w14:textId="2965DCED"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Yin, H.T. and Powers, N. (2010). Do state renewable portfolio standards promote in-state renewable generation? </w:t>
      </w:r>
      <w:r w:rsidRPr="00210EEC">
        <w:rPr>
          <w:rFonts w:asciiTheme="minorHAnsi" w:hAnsiTheme="minorHAnsi" w:cs="Segoe UI"/>
          <w:i/>
          <w:iCs/>
          <w:sz w:val="18"/>
          <w:szCs w:val="18"/>
        </w:rPr>
        <w:t>Energy Policy</w:t>
      </w:r>
      <w:r w:rsidRPr="00210EEC">
        <w:rPr>
          <w:rFonts w:asciiTheme="minorHAnsi" w:hAnsiTheme="minorHAnsi" w:cs="Segoe UI"/>
          <w:sz w:val="18"/>
          <w:szCs w:val="18"/>
        </w:rPr>
        <w:t xml:space="preserve"> 38(2), 1140-1149. </w:t>
      </w:r>
      <w:hyperlink r:id="rId155" w:history="1">
        <w:r w:rsidR="00210EEC" w:rsidRPr="003D09EF">
          <w:rPr>
            <w:rStyle w:val="Hyperlink"/>
            <w:rFonts w:asciiTheme="minorHAnsi" w:hAnsiTheme="minorHAnsi" w:cs="Segoe UI"/>
            <w:sz w:val="18"/>
            <w:szCs w:val="18"/>
          </w:rPr>
          <w:t>https://doi.org/10.1016/j.enpol.2009.10.067</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FA48F71"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71FF0DD" w14:textId="0310E0C6"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Young, O.R. (1999). </w:t>
      </w:r>
      <w:r w:rsidRPr="00210EEC">
        <w:rPr>
          <w:rFonts w:asciiTheme="minorHAnsi" w:hAnsiTheme="minorHAnsi" w:cs="Segoe UI"/>
          <w:i/>
          <w:iCs/>
          <w:sz w:val="18"/>
          <w:szCs w:val="18"/>
        </w:rPr>
        <w:t xml:space="preserve">The Effectiveness of International Environmental Regimes: Causal Connections and </w:t>
      </w:r>
      <w:proofErr w:type="spellStart"/>
      <w:r w:rsidRPr="00210EEC">
        <w:rPr>
          <w:rFonts w:asciiTheme="minorHAnsi" w:hAnsiTheme="minorHAnsi" w:cs="Segoe UI"/>
          <w:i/>
          <w:iCs/>
          <w:sz w:val="18"/>
          <w:szCs w:val="18"/>
        </w:rPr>
        <w:t>Behavioral</w:t>
      </w:r>
      <w:proofErr w:type="spellEnd"/>
      <w:r w:rsidRPr="00210EEC">
        <w:rPr>
          <w:rFonts w:asciiTheme="minorHAnsi" w:hAnsiTheme="minorHAnsi" w:cs="Segoe UI"/>
          <w:i/>
          <w:iCs/>
          <w:sz w:val="18"/>
          <w:szCs w:val="18"/>
        </w:rPr>
        <w:t xml:space="preserve"> Mechanisms.</w:t>
      </w:r>
      <w:r w:rsidRPr="00210EEC">
        <w:rPr>
          <w:rFonts w:asciiTheme="minorHAnsi" w:hAnsiTheme="minorHAnsi" w:cs="Segoe UI"/>
          <w:sz w:val="18"/>
          <w:szCs w:val="18"/>
        </w:rPr>
        <w:t xml:space="preserve"> Cambridge, MA: The MIT Press. </w:t>
      </w:r>
      <w:hyperlink r:id="rId156" w:history="1">
        <w:r w:rsidR="00210EEC" w:rsidRPr="003D09EF">
          <w:rPr>
            <w:rStyle w:val="Hyperlink"/>
            <w:rFonts w:asciiTheme="minorHAnsi" w:hAnsiTheme="minorHAnsi" w:cs="Segoe UI"/>
            <w:sz w:val="18"/>
            <w:szCs w:val="18"/>
          </w:rPr>
          <w:t>https://mitpress.mit.edu/books/effectiveness-international-environmental-regimes</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4F683037"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B0E9754" w14:textId="39305704"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Young, O.R. (2002). </w:t>
      </w:r>
      <w:r w:rsidRPr="00210EEC">
        <w:rPr>
          <w:rFonts w:asciiTheme="minorHAnsi" w:hAnsiTheme="minorHAnsi" w:cs="Segoe UI"/>
          <w:i/>
          <w:iCs/>
          <w:sz w:val="18"/>
          <w:szCs w:val="18"/>
        </w:rPr>
        <w:t>The Institutional Dimensions of Environmental Change: Fit, Interplay, and Scale.</w:t>
      </w:r>
      <w:r w:rsidRPr="00210EEC">
        <w:rPr>
          <w:rFonts w:asciiTheme="minorHAnsi" w:hAnsiTheme="minorHAnsi" w:cs="Segoe UI"/>
          <w:sz w:val="18"/>
          <w:szCs w:val="18"/>
        </w:rPr>
        <w:t xml:space="preserve"> Cambridge, MA: MIT Press. </w:t>
      </w:r>
      <w:hyperlink r:id="rId157" w:history="1">
        <w:r w:rsidR="00210EEC" w:rsidRPr="003D09EF">
          <w:rPr>
            <w:rStyle w:val="Hyperlink"/>
            <w:rFonts w:asciiTheme="minorHAnsi" w:hAnsiTheme="minorHAnsi" w:cs="Segoe UI"/>
            <w:sz w:val="18"/>
            <w:szCs w:val="18"/>
          </w:rPr>
          <w:t>https://mitpress.mit.edu/books/institutional-dimensions-environmental-change</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29D05A31"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920DA33" w14:textId="155E7513"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Young, O.R. (2003). Determining regime effectiveness: A commentary on the Oslo-Potsdam solution. </w:t>
      </w:r>
      <w:r w:rsidRPr="00210EEC">
        <w:rPr>
          <w:rFonts w:asciiTheme="minorHAnsi" w:hAnsiTheme="minorHAnsi" w:cs="Segoe UI"/>
          <w:i/>
          <w:iCs/>
          <w:sz w:val="18"/>
          <w:szCs w:val="18"/>
        </w:rPr>
        <w:t>Global Environmental Politics</w:t>
      </w:r>
      <w:r w:rsidRPr="00210EEC">
        <w:rPr>
          <w:rFonts w:asciiTheme="minorHAnsi" w:hAnsiTheme="minorHAnsi" w:cs="Segoe UI"/>
          <w:sz w:val="18"/>
          <w:szCs w:val="18"/>
        </w:rPr>
        <w:t xml:space="preserve"> 3(3), 97–104. </w:t>
      </w:r>
      <w:hyperlink r:id="rId158" w:history="1">
        <w:r w:rsidR="00210EEC" w:rsidRPr="003D09EF">
          <w:rPr>
            <w:rStyle w:val="Hyperlink"/>
            <w:rFonts w:asciiTheme="minorHAnsi" w:hAnsiTheme="minorHAnsi" w:cs="Segoe UI"/>
            <w:sz w:val="18"/>
            <w:szCs w:val="18"/>
          </w:rPr>
          <w:t>https://doi.org/10.1162/152638003322469295</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3C5FAC8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3D6B3E6B" w14:textId="45FB736F"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Young, O.R. (2006). Vertical interplay among scale-dependent environmental and resource regimes. </w:t>
      </w:r>
      <w:r w:rsidRPr="00210EEC">
        <w:rPr>
          <w:rFonts w:asciiTheme="minorHAnsi" w:hAnsiTheme="minorHAnsi" w:cs="Segoe UI"/>
          <w:i/>
          <w:iCs/>
          <w:sz w:val="18"/>
          <w:szCs w:val="18"/>
        </w:rPr>
        <w:t>Ecology and Society</w:t>
      </w:r>
      <w:r w:rsidRPr="00210EEC">
        <w:rPr>
          <w:rFonts w:asciiTheme="minorHAnsi" w:hAnsiTheme="minorHAnsi" w:cs="Segoe UI"/>
          <w:sz w:val="18"/>
          <w:szCs w:val="18"/>
        </w:rPr>
        <w:t xml:space="preserve"> 11(1), 27. </w:t>
      </w:r>
      <w:hyperlink r:id="rId159" w:history="1">
        <w:r w:rsidR="00210EEC" w:rsidRPr="003D09EF">
          <w:rPr>
            <w:rStyle w:val="Hyperlink"/>
            <w:rFonts w:asciiTheme="minorHAnsi" w:hAnsiTheme="minorHAnsi" w:cs="Segoe UI"/>
            <w:sz w:val="18"/>
            <w:szCs w:val="18"/>
          </w:rPr>
          <w:t>https://doi.org/10.5751/ES-01519-110127</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6465441"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631B2318" w14:textId="286F39BD"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Young, O.R. (2008). Building regimes for socio-ecological systems: Institutional diagnosis. In </w:t>
      </w:r>
      <w:r w:rsidRPr="00210EEC">
        <w:rPr>
          <w:rFonts w:asciiTheme="minorHAnsi" w:hAnsiTheme="minorHAnsi" w:cs="Segoe UI"/>
          <w:i/>
          <w:iCs/>
          <w:sz w:val="18"/>
          <w:szCs w:val="18"/>
        </w:rPr>
        <w:t>Institutions and Environmental Change: Principal Findings, Applications, and Research Frontiers.</w:t>
      </w:r>
      <w:r w:rsidRPr="00210EEC">
        <w:rPr>
          <w:rFonts w:asciiTheme="minorHAnsi" w:hAnsiTheme="minorHAnsi" w:cs="Segoe UI"/>
          <w:sz w:val="18"/>
          <w:szCs w:val="18"/>
        </w:rPr>
        <w:t xml:space="preserve"> Young, O.R., King, L.A. and Schroeder, H. (eds.). The MIT Press. chapter 4. </w:t>
      </w:r>
      <w:hyperlink r:id="rId160" w:history="1">
        <w:r w:rsidR="00210EEC" w:rsidRPr="003D09EF">
          <w:rPr>
            <w:rStyle w:val="Hyperlink"/>
            <w:rFonts w:asciiTheme="minorHAnsi" w:hAnsiTheme="minorHAnsi" w:cs="Segoe UI"/>
            <w:sz w:val="18"/>
            <w:szCs w:val="18"/>
          </w:rPr>
          <w:t>http://mitpress.universitypressscholarship.com/view/10.7551/mitpress/9780262240574.001.0001/upso-9780262240574-chapter-4</w:t>
        </w:r>
      </w:hyperlink>
      <w:r w:rsidR="00210EEC">
        <w:rPr>
          <w:rFonts w:asciiTheme="minorHAnsi" w:hAnsiTheme="minorHAnsi" w:cs="Segoe UI"/>
          <w:sz w:val="18"/>
          <w:szCs w:val="18"/>
        </w:rPr>
        <w:t xml:space="preserve"> </w:t>
      </w:r>
    </w:p>
    <w:p w14:paraId="231E35A0"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58FBEFCC" w14:textId="5CA4A9F8"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r w:rsidRPr="00210EEC">
        <w:rPr>
          <w:rFonts w:asciiTheme="minorHAnsi" w:hAnsiTheme="minorHAnsi" w:cs="Segoe UI"/>
          <w:sz w:val="18"/>
          <w:szCs w:val="18"/>
        </w:rPr>
        <w:t xml:space="preserve">Young, O.R. (2011). Effectiveness of international environmental regimes: Existing knowledge, cutting-edge themes, and research strategies. </w:t>
      </w:r>
      <w:r w:rsidRPr="00210EEC">
        <w:rPr>
          <w:rFonts w:asciiTheme="minorHAnsi" w:hAnsiTheme="minorHAnsi" w:cs="Segoe UI"/>
          <w:i/>
          <w:iCs/>
          <w:sz w:val="18"/>
          <w:szCs w:val="18"/>
        </w:rPr>
        <w:t>Proceedings of the National Academy of Sciences</w:t>
      </w:r>
      <w:r w:rsidRPr="00210EEC">
        <w:rPr>
          <w:rFonts w:asciiTheme="minorHAnsi" w:hAnsiTheme="minorHAnsi" w:cs="Segoe UI"/>
          <w:sz w:val="18"/>
          <w:szCs w:val="18"/>
        </w:rPr>
        <w:t xml:space="preserve"> 108(50), 19853-19860. </w:t>
      </w:r>
      <w:hyperlink r:id="rId161" w:history="1">
        <w:r w:rsidR="00210EEC" w:rsidRPr="003D09EF">
          <w:rPr>
            <w:rStyle w:val="Hyperlink"/>
            <w:rFonts w:asciiTheme="minorHAnsi" w:hAnsiTheme="minorHAnsi" w:cs="Segoe UI"/>
            <w:sz w:val="18"/>
            <w:szCs w:val="18"/>
          </w:rPr>
          <w:t>https://doi.org/10.1073/pnas.1111690108</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542B598C" w14:textId="77777777" w:rsidR="00796229" w:rsidRPr="00210EEC" w:rsidRDefault="00796229" w:rsidP="00796229">
      <w:pPr>
        <w:widowControl w:val="0"/>
        <w:autoSpaceDE w:val="0"/>
        <w:autoSpaceDN w:val="0"/>
        <w:adjustRightInd w:val="0"/>
        <w:spacing w:after="0" w:line="240" w:lineRule="auto"/>
        <w:rPr>
          <w:rFonts w:asciiTheme="minorHAnsi" w:hAnsiTheme="minorHAnsi" w:cs="Segoe UI"/>
          <w:sz w:val="18"/>
          <w:szCs w:val="18"/>
        </w:rPr>
      </w:pPr>
    </w:p>
    <w:p w14:paraId="1E17340A" w14:textId="36B20FEE" w:rsidR="00796229" w:rsidRPr="00210EEC" w:rsidRDefault="00796229" w:rsidP="00796229">
      <w:pPr>
        <w:widowControl w:val="0"/>
        <w:autoSpaceDE w:val="0"/>
        <w:autoSpaceDN w:val="0"/>
        <w:adjustRightInd w:val="0"/>
        <w:spacing w:after="0" w:line="240" w:lineRule="auto"/>
        <w:rPr>
          <w:rFonts w:ascii="Segoe UI" w:hAnsi="Segoe UI" w:cs="Segoe UI"/>
          <w:sz w:val="18"/>
          <w:szCs w:val="18"/>
        </w:rPr>
      </w:pPr>
      <w:r w:rsidRPr="00210EEC">
        <w:rPr>
          <w:rFonts w:asciiTheme="minorHAnsi" w:hAnsiTheme="minorHAnsi" w:cs="Segoe UI"/>
          <w:sz w:val="18"/>
          <w:szCs w:val="18"/>
        </w:rPr>
        <w:t xml:space="preserve">Young, O.R. (2017). </w:t>
      </w:r>
      <w:r w:rsidRPr="00210EEC">
        <w:rPr>
          <w:rFonts w:asciiTheme="minorHAnsi" w:hAnsiTheme="minorHAnsi" w:cs="Segoe UI"/>
          <w:i/>
          <w:iCs/>
          <w:sz w:val="18"/>
          <w:szCs w:val="18"/>
        </w:rPr>
        <w:t>Governing Complex Systems: Social Capital for The Anthropocene.</w:t>
      </w:r>
      <w:r w:rsidRPr="00210EEC">
        <w:rPr>
          <w:rFonts w:asciiTheme="minorHAnsi" w:hAnsiTheme="minorHAnsi" w:cs="Segoe UI"/>
          <w:sz w:val="18"/>
          <w:szCs w:val="18"/>
        </w:rPr>
        <w:t xml:space="preserve"> Cambridge, MA: The MIT Press. </w:t>
      </w:r>
      <w:hyperlink r:id="rId162" w:history="1">
        <w:r w:rsidR="00210EEC" w:rsidRPr="003D09EF">
          <w:rPr>
            <w:rStyle w:val="Hyperlink"/>
            <w:rFonts w:asciiTheme="minorHAnsi" w:hAnsiTheme="minorHAnsi" w:cs="Segoe UI"/>
            <w:sz w:val="18"/>
            <w:szCs w:val="18"/>
          </w:rPr>
          <w:t>https://mitpress.mit.edu/books/governing-complex-systems</w:t>
        </w:r>
      </w:hyperlink>
      <w:r w:rsidRPr="00210EEC">
        <w:rPr>
          <w:rFonts w:asciiTheme="minorHAnsi" w:hAnsiTheme="minorHAnsi" w:cs="Segoe UI"/>
          <w:sz w:val="18"/>
          <w:szCs w:val="18"/>
        </w:rPr>
        <w:t>.</w:t>
      </w:r>
      <w:r w:rsidR="00210EEC">
        <w:rPr>
          <w:rFonts w:asciiTheme="minorHAnsi" w:hAnsiTheme="minorHAnsi" w:cs="Segoe UI"/>
          <w:sz w:val="18"/>
          <w:szCs w:val="18"/>
        </w:rPr>
        <w:t xml:space="preserve"> </w:t>
      </w:r>
    </w:p>
    <w:p w14:paraId="7B3437D9" w14:textId="77777777" w:rsidR="00796229" w:rsidRDefault="00796229" w:rsidP="00796229">
      <w:pPr>
        <w:widowControl w:val="0"/>
        <w:autoSpaceDE w:val="0"/>
        <w:autoSpaceDN w:val="0"/>
        <w:adjustRightInd w:val="0"/>
        <w:spacing w:after="0" w:line="240" w:lineRule="auto"/>
        <w:rPr>
          <w:rFonts w:ascii="Segoe UI" w:hAnsi="Segoe UI" w:cs="Segoe UI"/>
          <w:sz w:val="18"/>
          <w:szCs w:val="18"/>
        </w:rPr>
      </w:pPr>
    </w:p>
    <w:p w14:paraId="0223CFF1" w14:textId="549BD920" w:rsidR="00EC72C6" w:rsidRPr="00C032D3" w:rsidRDefault="00EC72C6" w:rsidP="00086545">
      <w:pPr>
        <w:spacing w:after="0" w:line="240" w:lineRule="auto"/>
        <w:rPr>
          <w:rFonts w:asciiTheme="minorHAnsi" w:hAnsiTheme="minorHAnsi"/>
          <w:color w:val="auto"/>
          <w:sz w:val="20"/>
          <w:szCs w:val="20"/>
        </w:rPr>
      </w:pPr>
    </w:p>
    <w:sectPr w:rsidR="00EC72C6" w:rsidRPr="00C032D3" w:rsidSect="0009192B">
      <w:pgSz w:w="11907" w:h="16839"/>
      <w:pgMar w:top="1440" w:right="144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4B55" w14:textId="77777777" w:rsidR="00FB6177" w:rsidRDefault="00FB6177" w:rsidP="00086545">
      <w:r>
        <w:separator/>
      </w:r>
    </w:p>
  </w:endnote>
  <w:endnote w:type="continuationSeparator" w:id="0">
    <w:p w14:paraId="121157D0" w14:textId="77777777" w:rsidR="00FB6177" w:rsidRDefault="00FB6177" w:rsidP="0008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mo">
    <w:altName w:val="Calibri"/>
    <w:charset w:val="00"/>
    <w:family w:val="auto"/>
    <w:pitch w:val="default"/>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641470"/>
      <w:docPartObj>
        <w:docPartGallery w:val="Page Numbers (Bottom of Page)"/>
        <w:docPartUnique/>
      </w:docPartObj>
    </w:sdtPr>
    <w:sdtEndPr>
      <w:rPr>
        <w:noProof/>
      </w:rPr>
    </w:sdtEndPr>
    <w:sdtContent>
      <w:p w14:paraId="56ACA8F3" w14:textId="004E3061" w:rsidR="002B7CF1" w:rsidRDefault="002B7CF1" w:rsidP="009F6C56">
        <w:pPr>
          <w:pStyle w:val="Footer"/>
          <w:jc w:val="right"/>
        </w:pPr>
        <w:r>
          <w:fldChar w:fldCharType="begin"/>
        </w:r>
        <w:r>
          <w:instrText xml:space="preserve"> PAGE   \* MERGEFORMAT </w:instrText>
        </w:r>
        <w:r>
          <w:fldChar w:fldCharType="separate"/>
        </w:r>
        <w:r w:rsidR="00210EEC">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0D84" w14:textId="77777777" w:rsidR="00FB6177" w:rsidRDefault="00FB6177" w:rsidP="00086545">
      <w:r>
        <w:separator/>
      </w:r>
    </w:p>
  </w:footnote>
  <w:footnote w:type="continuationSeparator" w:id="0">
    <w:p w14:paraId="27F92564" w14:textId="77777777" w:rsidR="00FB6177" w:rsidRDefault="00FB6177" w:rsidP="0008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0B2A" w14:textId="77777777" w:rsidR="002B7CF1" w:rsidRPr="00125159" w:rsidRDefault="002B7CF1" w:rsidP="00086545">
    <w:pPr>
      <w:rPr>
        <w:lang w:val="en-US"/>
      </w:rPr>
    </w:pPr>
    <w:r>
      <w:rPr>
        <w:lang w:val="en-US"/>
      </w:rPr>
      <w:t>DRAFT – DO NOTE CITE OR QUOTE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1154"/>
    <w:multiLevelType w:val="hybridMultilevel"/>
    <w:tmpl w:val="8F4831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56FF5"/>
    <w:multiLevelType w:val="multilevel"/>
    <w:tmpl w:val="9CA0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C5099"/>
    <w:multiLevelType w:val="hybridMultilevel"/>
    <w:tmpl w:val="4894A298"/>
    <w:lvl w:ilvl="0" w:tplc="0409001B">
      <w:start w:val="1"/>
      <w:numFmt w:val="lowerRoman"/>
      <w:lvlText w:val="%1."/>
      <w:lvlJc w:val="right"/>
      <w:pPr>
        <w:ind w:left="774" w:hanging="360"/>
      </w:pPr>
    </w:lvl>
    <w:lvl w:ilvl="1" w:tplc="0409001B">
      <w:start w:val="1"/>
      <w:numFmt w:val="lowerRoman"/>
      <w:lvlText w:val="%2."/>
      <w:lvlJc w:val="righ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1E27751B"/>
    <w:multiLevelType w:val="multilevel"/>
    <w:tmpl w:val="5DEA61C6"/>
    <w:lvl w:ilvl="0">
      <w:start w:val="1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21A6B0B"/>
    <w:multiLevelType w:val="multilevel"/>
    <w:tmpl w:val="C5FC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C004D"/>
    <w:multiLevelType w:val="multilevel"/>
    <w:tmpl w:val="5DCC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B2FBA"/>
    <w:multiLevelType w:val="multilevel"/>
    <w:tmpl w:val="4F3A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181C48"/>
    <w:multiLevelType w:val="hybridMultilevel"/>
    <w:tmpl w:val="23B416D0"/>
    <w:lvl w:ilvl="0" w:tplc="8D2A1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34B81"/>
    <w:multiLevelType w:val="multilevel"/>
    <w:tmpl w:val="55A02EF0"/>
    <w:lvl w:ilvl="0">
      <w:start w:val="1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9132F5E"/>
    <w:multiLevelType w:val="hybridMultilevel"/>
    <w:tmpl w:val="07F6BD80"/>
    <w:lvl w:ilvl="0" w:tplc="2C7E602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F0A6EA9"/>
    <w:multiLevelType w:val="hybridMultilevel"/>
    <w:tmpl w:val="2BBA0DD0"/>
    <w:lvl w:ilvl="0" w:tplc="0409001B">
      <w:start w:val="1"/>
      <w:numFmt w:val="low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52013D00"/>
    <w:multiLevelType w:val="multilevel"/>
    <w:tmpl w:val="B0DA0DA4"/>
    <w:lvl w:ilvl="0">
      <w:start w:val="1"/>
      <w:numFmt w:val="bullet"/>
      <w:lvlText w:val="•"/>
      <w:lvlJc w:val="left"/>
      <w:pPr>
        <w:ind w:left="1080" w:hanging="720"/>
      </w:pPr>
      <w:rPr>
        <w:rFonts w:ascii="Cambria" w:eastAsia="Cambria" w:hAnsi="Cambria" w:cs="Cambria"/>
        <w:b w:val="0"/>
        <w:i w:val="0"/>
        <w:smallCaps w:val="0"/>
        <w:strike w:val="0"/>
        <w:color w:val="000000"/>
        <w:shd w:val="clear" w:color="auto" w:fill="auto"/>
        <w:vertAlign w:val="baseline"/>
      </w:rPr>
    </w:lvl>
    <w:lvl w:ilvl="1">
      <w:start w:val="1"/>
      <w:numFmt w:val="bullet"/>
      <w:lvlText w:val="o"/>
      <w:lvlJc w:val="left"/>
      <w:pPr>
        <w:ind w:left="1440" w:hanging="360"/>
      </w:pPr>
      <w:rPr>
        <w:rFonts w:ascii="Cambria" w:eastAsia="Cambria" w:hAnsi="Cambria" w:cs="Cambria"/>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Cambria" w:eastAsia="Cambria" w:hAnsi="Cambria" w:cs="Cambria"/>
        <w:b w:val="0"/>
        <w:i w:val="0"/>
        <w:smallCaps w:val="0"/>
        <w:strike w:val="0"/>
        <w:color w:val="000000"/>
        <w:shd w:val="clear" w:color="auto" w:fill="auto"/>
        <w:vertAlign w:val="baseline"/>
      </w:rPr>
    </w:lvl>
    <w:lvl w:ilvl="4">
      <w:start w:val="1"/>
      <w:numFmt w:val="bullet"/>
      <w:lvlText w:val="o"/>
      <w:lvlJc w:val="left"/>
      <w:pPr>
        <w:ind w:left="3600" w:hanging="360"/>
      </w:pPr>
      <w:rPr>
        <w:rFonts w:ascii="Cambria" w:eastAsia="Cambria" w:hAnsi="Cambria" w:cs="Cambria"/>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Cambria" w:eastAsia="Cambria" w:hAnsi="Cambria" w:cs="Cambria"/>
        <w:b w:val="0"/>
        <w:i w:val="0"/>
        <w:smallCaps w:val="0"/>
        <w:strike w:val="0"/>
        <w:color w:val="000000"/>
        <w:shd w:val="clear" w:color="auto" w:fill="auto"/>
        <w:vertAlign w:val="baseline"/>
      </w:rPr>
    </w:lvl>
    <w:lvl w:ilvl="7">
      <w:start w:val="1"/>
      <w:numFmt w:val="bullet"/>
      <w:lvlText w:val="o"/>
      <w:lvlJc w:val="left"/>
      <w:pPr>
        <w:ind w:left="5760" w:hanging="360"/>
      </w:pPr>
      <w:rPr>
        <w:rFonts w:ascii="Cambria" w:eastAsia="Cambria" w:hAnsi="Cambria" w:cs="Cambria"/>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2" w15:restartNumberingAfterBreak="0">
    <w:nsid w:val="52710156"/>
    <w:multiLevelType w:val="multilevel"/>
    <w:tmpl w:val="F0545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BF3EBA"/>
    <w:multiLevelType w:val="hybridMultilevel"/>
    <w:tmpl w:val="5EE4A9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154A1"/>
    <w:multiLevelType w:val="multilevel"/>
    <w:tmpl w:val="B5D89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7B35AF"/>
    <w:multiLevelType w:val="multilevel"/>
    <w:tmpl w:val="657EE8C6"/>
    <w:lvl w:ilvl="0">
      <w:start w:val="1"/>
      <w:numFmt w:val="bullet"/>
      <w:lvlText w:val="•"/>
      <w:lvlJc w:val="left"/>
      <w:pPr>
        <w:ind w:left="1080" w:hanging="720"/>
      </w:pPr>
      <w:rPr>
        <w:rFonts w:ascii="Cambria" w:eastAsia="Cambria" w:hAnsi="Cambria" w:cs="Cambria"/>
        <w:b w:val="0"/>
        <w:i w:val="0"/>
        <w:smallCaps w:val="0"/>
        <w:strike w:val="0"/>
        <w:color w:val="000000"/>
        <w:shd w:val="clear" w:color="auto" w:fill="auto"/>
        <w:vertAlign w:val="baseline"/>
      </w:rPr>
    </w:lvl>
    <w:lvl w:ilvl="1">
      <w:start w:val="1"/>
      <w:numFmt w:val="bullet"/>
      <w:lvlText w:val="o"/>
      <w:lvlJc w:val="left"/>
      <w:pPr>
        <w:ind w:left="1440" w:hanging="360"/>
      </w:pPr>
      <w:rPr>
        <w:rFonts w:ascii="Cambria" w:eastAsia="Cambria" w:hAnsi="Cambria" w:cs="Cambria"/>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Cambria" w:eastAsia="Cambria" w:hAnsi="Cambria" w:cs="Cambria"/>
        <w:b w:val="0"/>
        <w:i w:val="0"/>
        <w:smallCaps w:val="0"/>
        <w:strike w:val="0"/>
        <w:color w:val="000000"/>
        <w:shd w:val="clear" w:color="auto" w:fill="auto"/>
        <w:vertAlign w:val="baseline"/>
      </w:rPr>
    </w:lvl>
    <w:lvl w:ilvl="4">
      <w:start w:val="1"/>
      <w:numFmt w:val="bullet"/>
      <w:lvlText w:val="o"/>
      <w:lvlJc w:val="left"/>
      <w:pPr>
        <w:ind w:left="3600" w:hanging="360"/>
      </w:pPr>
      <w:rPr>
        <w:rFonts w:ascii="Cambria" w:eastAsia="Cambria" w:hAnsi="Cambria" w:cs="Cambria"/>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Cambria" w:eastAsia="Cambria" w:hAnsi="Cambria" w:cs="Cambria"/>
        <w:b w:val="0"/>
        <w:i w:val="0"/>
        <w:smallCaps w:val="0"/>
        <w:strike w:val="0"/>
        <w:color w:val="000000"/>
        <w:shd w:val="clear" w:color="auto" w:fill="auto"/>
        <w:vertAlign w:val="baseline"/>
      </w:rPr>
    </w:lvl>
    <w:lvl w:ilvl="7">
      <w:start w:val="1"/>
      <w:numFmt w:val="bullet"/>
      <w:lvlText w:val="o"/>
      <w:lvlJc w:val="left"/>
      <w:pPr>
        <w:ind w:left="5760" w:hanging="360"/>
      </w:pPr>
      <w:rPr>
        <w:rFonts w:ascii="Cambria" w:eastAsia="Cambria" w:hAnsi="Cambria" w:cs="Cambria"/>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6" w15:restartNumberingAfterBreak="0">
    <w:nsid w:val="64637BE8"/>
    <w:multiLevelType w:val="hybridMultilevel"/>
    <w:tmpl w:val="A3F0D108"/>
    <w:lvl w:ilvl="0" w:tplc="0409001B">
      <w:start w:val="1"/>
      <w:numFmt w:val="lowerRoman"/>
      <w:lvlText w:val="%1."/>
      <w:lvlJc w:val="right"/>
      <w:pPr>
        <w:ind w:left="774" w:hanging="360"/>
      </w:pPr>
    </w:lvl>
    <w:lvl w:ilvl="1" w:tplc="9A3C6EB8">
      <w:start w:val="1"/>
      <w:numFmt w:val="lowerRoman"/>
      <w:lvlText w:val="(%2)"/>
      <w:lvlJc w:val="left"/>
      <w:pPr>
        <w:ind w:left="1854" w:hanging="720"/>
      </w:pPr>
      <w:rPr>
        <w:rFonts w:hint="default"/>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15:restartNumberingAfterBreak="0">
    <w:nsid w:val="656C3F41"/>
    <w:multiLevelType w:val="hybridMultilevel"/>
    <w:tmpl w:val="D3E6C4CC"/>
    <w:lvl w:ilvl="0" w:tplc="0409001B">
      <w:start w:val="1"/>
      <w:numFmt w:val="low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672B1ED4"/>
    <w:multiLevelType w:val="hybridMultilevel"/>
    <w:tmpl w:val="C0D8D5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E125D"/>
    <w:multiLevelType w:val="multilevel"/>
    <w:tmpl w:val="4E14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2"/>
  </w:num>
  <w:num w:numId="4">
    <w:abstractNumId w:val="15"/>
  </w:num>
  <w:num w:numId="5">
    <w:abstractNumId w:val="5"/>
  </w:num>
  <w:num w:numId="6">
    <w:abstractNumId w:val="4"/>
  </w:num>
  <w:num w:numId="7">
    <w:abstractNumId w:val="1"/>
  </w:num>
  <w:num w:numId="8">
    <w:abstractNumId w:val="6"/>
  </w:num>
  <w:num w:numId="9">
    <w:abstractNumId w:val="19"/>
  </w:num>
  <w:num w:numId="10">
    <w:abstractNumId w:val="8"/>
  </w:num>
  <w:num w:numId="11">
    <w:abstractNumId w:val="3"/>
  </w:num>
  <w:num w:numId="12">
    <w:abstractNumId w:val="18"/>
  </w:num>
  <w:num w:numId="13">
    <w:abstractNumId w:val="7"/>
  </w:num>
  <w:num w:numId="14">
    <w:abstractNumId w:val="10"/>
  </w:num>
  <w:num w:numId="15">
    <w:abstractNumId w:val="9"/>
  </w:num>
  <w:num w:numId="16">
    <w:abstractNumId w:val="16"/>
  </w:num>
  <w:num w:numId="17">
    <w:abstractNumId w:val="0"/>
  </w:num>
  <w:num w:numId="18">
    <w:abstractNumId w:val="13"/>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FBE"/>
    <w:rsid w:val="00006FD0"/>
    <w:rsid w:val="00010099"/>
    <w:rsid w:val="000158B6"/>
    <w:rsid w:val="00023D35"/>
    <w:rsid w:val="00031497"/>
    <w:rsid w:val="00031561"/>
    <w:rsid w:val="00031C4A"/>
    <w:rsid w:val="00046026"/>
    <w:rsid w:val="00060453"/>
    <w:rsid w:val="000610D7"/>
    <w:rsid w:val="000654B8"/>
    <w:rsid w:val="00066DDE"/>
    <w:rsid w:val="00074C08"/>
    <w:rsid w:val="00086545"/>
    <w:rsid w:val="00087200"/>
    <w:rsid w:val="000878AB"/>
    <w:rsid w:val="00090A52"/>
    <w:rsid w:val="0009192B"/>
    <w:rsid w:val="000A0F9C"/>
    <w:rsid w:val="000A1AA1"/>
    <w:rsid w:val="000A2606"/>
    <w:rsid w:val="000B2615"/>
    <w:rsid w:val="000D4023"/>
    <w:rsid w:val="000F16F8"/>
    <w:rsid w:val="000F7E0F"/>
    <w:rsid w:val="00100A6B"/>
    <w:rsid w:val="00104456"/>
    <w:rsid w:val="00112A58"/>
    <w:rsid w:val="001141D3"/>
    <w:rsid w:val="00117E3C"/>
    <w:rsid w:val="00125159"/>
    <w:rsid w:val="001271A6"/>
    <w:rsid w:val="00130283"/>
    <w:rsid w:val="001350A5"/>
    <w:rsid w:val="00154801"/>
    <w:rsid w:val="00167146"/>
    <w:rsid w:val="0017367D"/>
    <w:rsid w:val="001738AD"/>
    <w:rsid w:val="001745AE"/>
    <w:rsid w:val="0018139C"/>
    <w:rsid w:val="001839CC"/>
    <w:rsid w:val="001851F6"/>
    <w:rsid w:val="00190E0E"/>
    <w:rsid w:val="00195715"/>
    <w:rsid w:val="001B4D9F"/>
    <w:rsid w:val="001C131E"/>
    <w:rsid w:val="001D7FDA"/>
    <w:rsid w:val="001E359E"/>
    <w:rsid w:val="001E4843"/>
    <w:rsid w:val="001F68BA"/>
    <w:rsid w:val="00210EEC"/>
    <w:rsid w:val="00214DE3"/>
    <w:rsid w:val="0021668F"/>
    <w:rsid w:val="002169B3"/>
    <w:rsid w:val="00216FAC"/>
    <w:rsid w:val="00217209"/>
    <w:rsid w:val="002236B4"/>
    <w:rsid w:val="002237F1"/>
    <w:rsid w:val="002238D8"/>
    <w:rsid w:val="0022723B"/>
    <w:rsid w:val="00233FFC"/>
    <w:rsid w:val="002347E1"/>
    <w:rsid w:val="0023507E"/>
    <w:rsid w:val="002375AF"/>
    <w:rsid w:val="002428AB"/>
    <w:rsid w:val="00242981"/>
    <w:rsid w:val="00251F7B"/>
    <w:rsid w:val="00260F2B"/>
    <w:rsid w:val="00275429"/>
    <w:rsid w:val="0027753F"/>
    <w:rsid w:val="00281020"/>
    <w:rsid w:val="002908CA"/>
    <w:rsid w:val="002A105C"/>
    <w:rsid w:val="002A6C81"/>
    <w:rsid w:val="002A7145"/>
    <w:rsid w:val="002B2AEC"/>
    <w:rsid w:val="002B75C1"/>
    <w:rsid w:val="002B7CF1"/>
    <w:rsid w:val="002C5365"/>
    <w:rsid w:val="002C553A"/>
    <w:rsid w:val="002D30FD"/>
    <w:rsid w:val="002D3C09"/>
    <w:rsid w:val="002E0F12"/>
    <w:rsid w:val="002E1FA5"/>
    <w:rsid w:val="002E34CA"/>
    <w:rsid w:val="002E6CB2"/>
    <w:rsid w:val="002F303E"/>
    <w:rsid w:val="002F56B5"/>
    <w:rsid w:val="00300898"/>
    <w:rsid w:val="00305C3B"/>
    <w:rsid w:val="00321283"/>
    <w:rsid w:val="003252EF"/>
    <w:rsid w:val="00325B08"/>
    <w:rsid w:val="00331B02"/>
    <w:rsid w:val="00333A6F"/>
    <w:rsid w:val="00343A9D"/>
    <w:rsid w:val="00352535"/>
    <w:rsid w:val="00354CE5"/>
    <w:rsid w:val="00356089"/>
    <w:rsid w:val="00380775"/>
    <w:rsid w:val="00380A8B"/>
    <w:rsid w:val="003815DC"/>
    <w:rsid w:val="003823B4"/>
    <w:rsid w:val="003869DF"/>
    <w:rsid w:val="00386CD8"/>
    <w:rsid w:val="00387502"/>
    <w:rsid w:val="003875BF"/>
    <w:rsid w:val="003948D4"/>
    <w:rsid w:val="003A2A49"/>
    <w:rsid w:val="003A322F"/>
    <w:rsid w:val="003B0038"/>
    <w:rsid w:val="003B1C8C"/>
    <w:rsid w:val="003B5522"/>
    <w:rsid w:val="003B5F35"/>
    <w:rsid w:val="003D5462"/>
    <w:rsid w:val="003D79CF"/>
    <w:rsid w:val="003F6C88"/>
    <w:rsid w:val="003F7F7A"/>
    <w:rsid w:val="004078C5"/>
    <w:rsid w:val="00413E3D"/>
    <w:rsid w:val="00461F9E"/>
    <w:rsid w:val="00463E6B"/>
    <w:rsid w:val="00477162"/>
    <w:rsid w:val="00477D8F"/>
    <w:rsid w:val="00480021"/>
    <w:rsid w:val="00480573"/>
    <w:rsid w:val="0048479A"/>
    <w:rsid w:val="00486FEE"/>
    <w:rsid w:val="00492207"/>
    <w:rsid w:val="00495434"/>
    <w:rsid w:val="00496AD6"/>
    <w:rsid w:val="004C5853"/>
    <w:rsid w:val="004C5C0D"/>
    <w:rsid w:val="004C723C"/>
    <w:rsid w:val="004D531D"/>
    <w:rsid w:val="004D698F"/>
    <w:rsid w:val="004D79D2"/>
    <w:rsid w:val="004E3597"/>
    <w:rsid w:val="004E4D18"/>
    <w:rsid w:val="004E7AE9"/>
    <w:rsid w:val="004E7CB8"/>
    <w:rsid w:val="00500921"/>
    <w:rsid w:val="005054F6"/>
    <w:rsid w:val="005325B6"/>
    <w:rsid w:val="00540272"/>
    <w:rsid w:val="00540E47"/>
    <w:rsid w:val="0054696D"/>
    <w:rsid w:val="0056245C"/>
    <w:rsid w:val="00566796"/>
    <w:rsid w:val="005669CA"/>
    <w:rsid w:val="00566A18"/>
    <w:rsid w:val="005706F9"/>
    <w:rsid w:val="00577C42"/>
    <w:rsid w:val="00577CE6"/>
    <w:rsid w:val="00590A2F"/>
    <w:rsid w:val="00592421"/>
    <w:rsid w:val="005A40E8"/>
    <w:rsid w:val="005B0A80"/>
    <w:rsid w:val="005C1876"/>
    <w:rsid w:val="005D27EC"/>
    <w:rsid w:val="005D6DDF"/>
    <w:rsid w:val="005E669E"/>
    <w:rsid w:val="005F5FB8"/>
    <w:rsid w:val="006031EE"/>
    <w:rsid w:val="006036AD"/>
    <w:rsid w:val="0061104C"/>
    <w:rsid w:val="006229C2"/>
    <w:rsid w:val="00652976"/>
    <w:rsid w:val="00664E64"/>
    <w:rsid w:val="00680D03"/>
    <w:rsid w:val="006833DB"/>
    <w:rsid w:val="006B0BC1"/>
    <w:rsid w:val="006B53EF"/>
    <w:rsid w:val="006C01EF"/>
    <w:rsid w:val="006C7971"/>
    <w:rsid w:val="006E08B1"/>
    <w:rsid w:val="006E38EC"/>
    <w:rsid w:val="006F1D6B"/>
    <w:rsid w:val="006F5B65"/>
    <w:rsid w:val="00705827"/>
    <w:rsid w:val="00715AD6"/>
    <w:rsid w:val="00727AC7"/>
    <w:rsid w:val="00730857"/>
    <w:rsid w:val="00731592"/>
    <w:rsid w:val="007613C6"/>
    <w:rsid w:val="00763E64"/>
    <w:rsid w:val="00764F61"/>
    <w:rsid w:val="00793A96"/>
    <w:rsid w:val="007953C9"/>
    <w:rsid w:val="00795F50"/>
    <w:rsid w:val="00796229"/>
    <w:rsid w:val="007B0A00"/>
    <w:rsid w:val="007B19DD"/>
    <w:rsid w:val="007B5D76"/>
    <w:rsid w:val="007C2E1E"/>
    <w:rsid w:val="007C367A"/>
    <w:rsid w:val="007E0934"/>
    <w:rsid w:val="007E25C6"/>
    <w:rsid w:val="007E4EF0"/>
    <w:rsid w:val="007F7279"/>
    <w:rsid w:val="00807B4D"/>
    <w:rsid w:val="008263AC"/>
    <w:rsid w:val="00833AFA"/>
    <w:rsid w:val="008419C5"/>
    <w:rsid w:val="008434C5"/>
    <w:rsid w:val="008435D3"/>
    <w:rsid w:val="008472A3"/>
    <w:rsid w:val="008816C2"/>
    <w:rsid w:val="0088280A"/>
    <w:rsid w:val="008849B6"/>
    <w:rsid w:val="00885471"/>
    <w:rsid w:val="0089692E"/>
    <w:rsid w:val="008B23E1"/>
    <w:rsid w:val="008C2781"/>
    <w:rsid w:val="008C7797"/>
    <w:rsid w:val="008D12D0"/>
    <w:rsid w:val="008D50C1"/>
    <w:rsid w:val="008E3B91"/>
    <w:rsid w:val="008E6634"/>
    <w:rsid w:val="008F35F2"/>
    <w:rsid w:val="008F6557"/>
    <w:rsid w:val="0090466F"/>
    <w:rsid w:val="009204E5"/>
    <w:rsid w:val="00934807"/>
    <w:rsid w:val="00946438"/>
    <w:rsid w:val="00954CEA"/>
    <w:rsid w:val="00966AB7"/>
    <w:rsid w:val="00967093"/>
    <w:rsid w:val="009710BE"/>
    <w:rsid w:val="00972F76"/>
    <w:rsid w:val="009751AA"/>
    <w:rsid w:val="00982B2F"/>
    <w:rsid w:val="00983DCD"/>
    <w:rsid w:val="0098561F"/>
    <w:rsid w:val="00995018"/>
    <w:rsid w:val="009A01DD"/>
    <w:rsid w:val="009A505A"/>
    <w:rsid w:val="009B1E8A"/>
    <w:rsid w:val="009B6ADA"/>
    <w:rsid w:val="009B7F0F"/>
    <w:rsid w:val="009C67D8"/>
    <w:rsid w:val="009D2A90"/>
    <w:rsid w:val="009D5255"/>
    <w:rsid w:val="009D7F54"/>
    <w:rsid w:val="009F6C56"/>
    <w:rsid w:val="00A12C9B"/>
    <w:rsid w:val="00A15174"/>
    <w:rsid w:val="00A259EF"/>
    <w:rsid w:val="00A262A4"/>
    <w:rsid w:val="00A31275"/>
    <w:rsid w:val="00A31981"/>
    <w:rsid w:val="00A33D7F"/>
    <w:rsid w:val="00A479BD"/>
    <w:rsid w:val="00A47AFC"/>
    <w:rsid w:val="00A5609E"/>
    <w:rsid w:val="00A60E5C"/>
    <w:rsid w:val="00A61E0A"/>
    <w:rsid w:val="00A679C7"/>
    <w:rsid w:val="00A760CF"/>
    <w:rsid w:val="00A9401D"/>
    <w:rsid w:val="00AA1F78"/>
    <w:rsid w:val="00AA5321"/>
    <w:rsid w:val="00AA614E"/>
    <w:rsid w:val="00AB3D4F"/>
    <w:rsid w:val="00AD1269"/>
    <w:rsid w:val="00AD27B3"/>
    <w:rsid w:val="00AD4575"/>
    <w:rsid w:val="00AE1815"/>
    <w:rsid w:val="00AE34BC"/>
    <w:rsid w:val="00B04299"/>
    <w:rsid w:val="00B07E82"/>
    <w:rsid w:val="00B129FE"/>
    <w:rsid w:val="00B16072"/>
    <w:rsid w:val="00B167C8"/>
    <w:rsid w:val="00B32CE7"/>
    <w:rsid w:val="00B3784B"/>
    <w:rsid w:val="00B426DA"/>
    <w:rsid w:val="00B43ADD"/>
    <w:rsid w:val="00B47163"/>
    <w:rsid w:val="00B530BA"/>
    <w:rsid w:val="00B5476A"/>
    <w:rsid w:val="00B6773D"/>
    <w:rsid w:val="00B756C6"/>
    <w:rsid w:val="00B80F80"/>
    <w:rsid w:val="00B82A76"/>
    <w:rsid w:val="00B901BD"/>
    <w:rsid w:val="00B97D6E"/>
    <w:rsid w:val="00BA3ED7"/>
    <w:rsid w:val="00BA69FD"/>
    <w:rsid w:val="00BB2396"/>
    <w:rsid w:val="00BB6F93"/>
    <w:rsid w:val="00BB710A"/>
    <w:rsid w:val="00BC143A"/>
    <w:rsid w:val="00BC28F2"/>
    <w:rsid w:val="00BC5058"/>
    <w:rsid w:val="00BF0F44"/>
    <w:rsid w:val="00C0260E"/>
    <w:rsid w:val="00C032D3"/>
    <w:rsid w:val="00C156EC"/>
    <w:rsid w:val="00C24A6C"/>
    <w:rsid w:val="00C35926"/>
    <w:rsid w:val="00C426CA"/>
    <w:rsid w:val="00C535E4"/>
    <w:rsid w:val="00C62636"/>
    <w:rsid w:val="00C867E0"/>
    <w:rsid w:val="00C93EB1"/>
    <w:rsid w:val="00C94259"/>
    <w:rsid w:val="00CB1485"/>
    <w:rsid w:val="00CB2DF9"/>
    <w:rsid w:val="00CC232B"/>
    <w:rsid w:val="00CC4297"/>
    <w:rsid w:val="00CC69A8"/>
    <w:rsid w:val="00CD29E3"/>
    <w:rsid w:val="00CD6E9F"/>
    <w:rsid w:val="00CE56CC"/>
    <w:rsid w:val="00CF5910"/>
    <w:rsid w:val="00D01475"/>
    <w:rsid w:val="00D01B77"/>
    <w:rsid w:val="00D03765"/>
    <w:rsid w:val="00D05DAA"/>
    <w:rsid w:val="00D07928"/>
    <w:rsid w:val="00D10374"/>
    <w:rsid w:val="00D273A9"/>
    <w:rsid w:val="00D369E4"/>
    <w:rsid w:val="00D37E68"/>
    <w:rsid w:val="00D41486"/>
    <w:rsid w:val="00D42AB9"/>
    <w:rsid w:val="00D44C09"/>
    <w:rsid w:val="00D57EF8"/>
    <w:rsid w:val="00D61BE0"/>
    <w:rsid w:val="00D71A44"/>
    <w:rsid w:val="00D90CF9"/>
    <w:rsid w:val="00DA0396"/>
    <w:rsid w:val="00DA252E"/>
    <w:rsid w:val="00DA2DF9"/>
    <w:rsid w:val="00DA390F"/>
    <w:rsid w:val="00DA3F8F"/>
    <w:rsid w:val="00DB3022"/>
    <w:rsid w:val="00DB3913"/>
    <w:rsid w:val="00DB6905"/>
    <w:rsid w:val="00DD3ADD"/>
    <w:rsid w:val="00DD3B8E"/>
    <w:rsid w:val="00DD43E2"/>
    <w:rsid w:val="00DD5160"/>
    <w:rsid w:val="00DD5B53"/>
    <w:rsid w:val="00DF26F1"/>
    <w:rsid w:val="00E13545"/>
    <w:rsid w:val="00E2700D"/>
    <w:rsid w:val="00E3099C"/>
    <w:rsid w:val="00E4256C"/>
    <w:rsid w:val="00E43835"/>
    <w:rsid w:val="00E468C6"/>
    <w:rsid w:val="00E54424"/>
    <w:rsid w:val="00E5659F"/>
    <w:rsid w:val="00E5726F"/>
    <w:rsid w:val="00E60FAC"/>
    <w:rsid w:val="00E753FE"/>
    <w:rsid w:val="00E81CB6"/>
    <w:rsid w:val="00E87A4B"/>
    <w:rsid w:val="00E95E5B"/>
    <w:rsid w:val="00EA22DD"/>
    <w:rsid w:val="00EA65A7"/>
    <w:rsid w:val="00EB2DFA"/>
    <w:rsid w:val="00EB3510"/>
    <w:rsid w:val="00EB3B6B"/>
    <w:rsid w:val="00EC72C6"/>
    <w:rsid w:val="00ED1BD2"/>
    <w:rsid w:val="00ED2AAC"/>
    <w:rsid w:val="00EE00DC"/>
    <w:rsid w:val="00EE2880"/>
    <w:rsid w:val="00EF5DE5"/>
    <w:rsid w:val="00F1506A"/>
    <w:rsid w:val="00F17CCC"/>
    <w:rsid w:val="00F25B9C"/>
    <w:rsid w:val="00F26495"/>
    <w:rsid w:val="00F33D94"/>
    <w:rsid w:val="00F42D4B"/>
    <w:rsid w:val="00F474FA"/>
    <w:rsid w:val="00F47641"/>
    <w:rsid w:val="00F47AA6"/>
    <w:rsid w:val="00F60E9A"/>
    <w:rsid w:val="00F6626E"/>
    <w:rsid w:val="00F85AB1"/>
    <w:rsid w:val="00F90678"/>
    <w:rsid w:val="00FA055A"/>
    <w:rsid w:val="00FA1C78"/>
    <w:rsid w:val="00FA3D01"/>
    <w:rsid w:val="00FB6177"/>
    <w:rsid w:val="00FB6FBE"/>
    <w:rsid w:val="00FC4F9F"/>
    <w:rsid w:val="00FC6174"/>
    <w:rsid w:val="00FD0DA3"/>
    <w:rsid w:val="00FD3F28"/>
    <w:rsid w:val="00FD7A56"/>
    <w:rsid w:val="00FE2590"/>
    <w:rsid w:val="00FE7F8C"/>
    <w:rsid w:val="00FF5800"/>
    <w:rsid w:val="00FF75E7"/>
    <w:rsid w:val="00FF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5F0FE"/>
  <w15:docId w15:val="{9EA84F3F-5ABD-4B01-9468-A8C3BA66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zh-CN" w:bidi="ar-SA"/>
      </w:rPr>
    </w:rPrDefault>
    <w:pPrDefault>
      <w:pPr>
        <w:pBdr>
          <w:top w:val="nil"/>
          <w:left w:val="nil"/>
          <w:bottom w:val="nil"/>
          <w:right w:val="nil"/>
          <w:between w:val="nil"/>
        </w:pBd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545"/>
    <w:pPr>
      <w:spacing w:line="276" w:lineRule="auto"/>
    </w:pPr>
  </w:style>
  <w:style w:type="paragraph" w:styleId="Heading1">
    <w:name w:val="heading 1"/>
    <w:basedOn w:val="Normal"/>
    <w:next w:val="Normal"/>
    <w:link w:val="Heading1Char"/>
    <w:autoRedefine/>
    <w:uiPriority w:val="9"/>
    <w:qFormat/>
    <w:rsid w:val="008E6634"/>
    <w:pPr>
      <w:keepNext/>
      <w:keepLines/>
      <w:numPr>
        <w:numId w:val="11"/>
      </w:numPr>
      <w:pBdr>
        <w:top w:val="none" w:sz="0" w:space="0" w:color="auto"/>
        <w:left w:val="none" w:sz="0" w:space="0" w:color="auto"/>
        <w:bottom w:val="none" w:sz="0" w:space="0" w:color="auto"/>
        <w:right w:val="none" w:sz="0" w:space="0" w:color="auto"/>
        <w:between w:val="none" w:sz="0" w:space="0" w:color="auto"/>
      </w:pBdr>
      <w:spacing w:before="240" w:line="259" w:lineRule="auto"/>
      <w:ind w:left="720" w:hanging="720"/>
      <w:jc w:val="both"/>
      <w:outlineLvl w:val="0"/>
    </w:pPr>
    <w:rPr>
      <w:rFonts w:eastAsiaTheme="majorEastAsia" w:cstheme="majorBidi"/>
      <w:color w:val="548DD4" w:themeColor="text2" w:themeTint="99"/>
      <w:sz w:val="28"/>
      <w:szCs w:val="28"/>
    </w:rPr>
  </w:style>
  <w:style w:type="paragraph" w:styleId="Heading2">
    <w:name w:val="heading 2"/>
    <w:basedOn w:val="Normal"/>
    <w:next w:val="Normal"/>
    <w:link w:val="Heading2Char"/>
    <w:autoRedefine/>
    <w:uiPriority w:val="9"/>
    <w:qFormat/>
    <w:rsid w:val="00B04299"/>
    <w:pPr>
      <w:keepNext/>
      <w:keepLines/>
      <w:numPr>
        <w:ilvl w:val="1"/>
        <w:numId w:val="11"/>
      </w:numPr>
      <w:pBdr>
        <w:top w:val="none" w:sz="0" w:space="0" w:color="auto"/>
        <w:left w:val="none" w:sz="0" w:space="0" w:color="auto"/>
        <w:bottom w:val="none" w:sz="0" w:space="0" w:color="auto"/>
        <w:right w:val="none" w:sz="0" w:space="0" w:color="auto"/>
        <w:between w:val="none" w:sz="0" w:space="0" w:color="auto"/>
      </w:pBdr>
      <w:spacing w:before="240" w:line="259" w:lineRule="auto"/>
      <w:ind w:left="720" w:hanging="72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qFormat/>
    <w:rsid w:val="00B04299"/>
    <w:pPr>
      <w:keepNext/>
      <w:keepLines/>
      <w:numPr>
        <w:ilvl w:val="2"/>
        <w:numId w:val="11"/>
      </w:numPr>
      <w:pBdr>
        <w:top w:val="none" w:sz="0" w:space="0" w:color="auto"/>
        <w:left w:val="none" w:sz="0" w:space="0" w:color="auto"/>
        <w:bottom w:val="none" w:sz="0" w:space="0" w:color="auto"/>
        <w:right w:val="none" w:sz="0" w:space="0" w:color="auto"/>
        <w:between w:val="none" w:sz="0" w:space="0" w:color="auto"/>
      </w:pBdr>
      <w:spacing w:before="120" w:after="80" w:line="259" w:lineRule="auto"/>
      <w:outlineLvl w:val="2"/>
    </w:pPr>
    <w:rPr>
      <w:rFonts w:eastAsiaTheme="majorEastAsia" w:cstheme="majorBidi"/>
      <w:color w:val="243F60" w:themeColor="accent1" w:themeShade="7F"/>
      <w:lang w:val="en-US"/>
    </w:rPr>
  </w:style>
  <w:style w:type="paragraph" w:styleId="Heading4">
    <w:name w:val="heading 4"/>
    <w:basedOn w:val="Normal"/>
    <w:next w:val="Normal"/>
    <w:link w:val="Heading4Char"/>
    <w:uiPriority w:val="9"/>
    <w:qFormat/>
    <w:rsid w:val="009D5255"/>
    <w:pPr>
      <w:outlineLvl w:val="3"/>
    </w:pPr>
  </w:style>
  <w:style w:type="paragraph" w:styleId="Heading5">
    <w:name w:val="heading 5"/>
    <w:basedOn w:val="Normal"/>
    <w:next w:val="Normal"/>
    <w:pPr>
      <w:keepNext/>
      <w:keepLines/>
      <w:numPr>
        <w:ilvl w:val="4"/>
        <w:numId w:val="11"/>
      </w:numPr>
      <w:spacing w:before="200"/>
      <w:outlineLvl w:val="4"/>
    </w:pPr>
    <w:rPr>
      <w:b/>
      <w:color w:val="243F61"/>
      <w:sz w:val="26"/>
      <w:szCs w:val="26"/>
    </w:rPr>
  </w:style>
  <w:style w:type="paragraph" w:styleId="Heading6">
    <w:name w:val="heading 6"/>
    <w:basedOn w:val="Normal"/>
    <w:next w:val="Normal"/>
    <w:pPr>
      <w:keepNext/>
      <w:keepLines/>
      <w:numPr>
        <w:ilvl w:val="5"/>
        <w:numId w:val="11"/>
      </w:numPr>
      <w:spacing w:before="200"/>
      <w:outlineLvl w:val="5"/>
    </w:pPr>
    <w:rPr>
      <w:i/>
      <w:color w:val="243F61"/>
    </w:rPr>
  </w:style>
  <w:style w:type="paragraph" w:styleId="Heading7">
    <w:name w:val="heading 7"/>
    <w:basedOn w:val="Normal"/>
    <w:next w:val="Normal"/>
    <w:link w:val="Heading7Char"/>
    <w:uiPriority w:val="9"/>
    <w:semiHidden/>
    <w:unhideWhenUsed/>
    <w:qFormat/>
    <w:rsid w:val="00A15174"/>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517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174"/>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pBdr>
        <w:bottom w:val="single" w:sz="8" w:space="4" w:color="4F81BD"/>
      </w:pBdr>
      <w:spacing w:after="300"/>
    </w:pPr>
    <w:rPr>
      <w:color w:val="17365D"/>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54B8"/>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0654B8"/>
    <w:rPr>
      <w:rFonts w:ascii="Microsoft YaHei UI" w:eastAsia="Microsoft YaHei UI"/>
      <w:sz w:val="18"/>
      <w:szCs w:val="18"/>
    </w:rPr>
  </w:style>
  <w:style w:type="paragraph" w:styleId="CommentSubject">
    <w:name w:val="annotation subject"/>
    <w:basedOn w:val="CommentText"/>
    <w:next w:val="CommentText"/>
    <w:link w:val="CommentSubjectChar"/>
    <w:uiPriority w:val="99"/>
    <w:semiHidden/>
    <w:unhideWhenUsed/>
    <w:rsid w:val="00CD29E3"/>
    <w:rPr>
      <w:b/>
      <w:bCs/>
    </w:rPr>
  </w:style>
  <w:style w:type="character" w:customStyle="1" w:styleId="CommentSubjectChar">
    <w:name w:val="Comment Subject Char"/>
    <w:basedOn w:val="CommentTextChar"/>
    <w:link w:val="CommentSubject"/>
    <w:uiPriority w:val="99"/>
    <w:semiHidden/>
    <w:rsid w:val="00CD29E3"/>
    <w:rPr>
      <w:b/>
      <w:bCs/>
      <w:sz w:val="20"/>
      <w:szCs w:val="20"/>
    </w:rPr>
  </w:style>
  <w:style w:type="character" w:styleId="Hyperlink">
    <w:name w:val="Hyperlink"/>
    <w:basedOn w:val="DefaultParagraphFont"/>
    <w:uiPriority w:val="99"/>
    <w:unhideWhenUsed/>
    <w:rsid w:val="0022723B"/>
    <w:rPr>
      <w:color w:val="0000FF" w:themeColor="hyperlink"/>
      <w:u w:val="single"/>
    </w:rPr>
  </w:style>
  <w:style w:type="character" w:customStyle="1" w:styleId="UnresolvedMention1">
    <w:name w:val="Unresolved Mention1"/>
    <w:basedOn w:val="DefaultParagraphFont"/>
    <w:uiPriority w:val="99"/>
    <w:semiHidden/>
    <w:unhideWhenUsed/>
    <w:rsid w:val="0022723B"/>
    <w:rPr>
      <w:color w:val="808080"/>
      <w:shd w:val="clear" w:color="auto" w:fill="E6E6E6"/>
    </w:rPr>
  </w:style>
  <w:style w:type="paragraph" w:styleId="TOC2">
    <w:name w:val="toc 2"/>
    <w:basedOn w:val="Normal"/>
    <w:next w:val="Normal"/>
    <w:autoRedefine/>
    <w:uiPriority w:val="39"/>
    <w:unhideWhenUsed/>
    <w:rsid w:val="00A15174"/>
    <w:pPr>
      <w:spacing w:after="100"/>
      <w:ind w:left="240"/>
    </w:pPr>
  </w:style>
  <w:style w:type="paragraph" w:styleId="TOC3">
    <w:name w:val="toc 3"/>
    <w:basedOn w:val="Normal"/>
    <w:next w:val="Normal"/>
    <w:autoRedefine/>
    <w:uiPriority w:val="39"/>
    <w:unhideWhenUsed/>
    <w:rsid w:val="00A15174"/>
    <w:pPr>
      <w:spacing w:after="100"/>
      <w:ind w:left="480"/>
    </w:pPr>
  </w:style>
  <w:style w:type="character" w:customStyle="1" w:styleId="Heading4Char">
    <w:name w:val="Heading 4 Char"/>
    <w:basedOn w:val="DefaultParagraphFont"/>
    <w:link w:val="Heading4"/>
    <w:uiPriority w:val="9"/>
    <w:rsid w:val="009D5255"/>
  </w:style>
  <w:style w:type="character" w:customStyle="1" w:styleId="Heading7Char">
    <w:name w:val="Heading 7 Char"/>
    <w:basedOn w:val="DefaultParagraphFont"/>
    <w:link w:val="Heading7"/>
    <w:uiPriority w:val="9"/>
    <w:semiHidden/>
    <w:rsid w:val="00A151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151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174"/>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8E6634"/>
    <w:rPr>
      <w:rFonts w:eastAsiaTheme="majorEastAsia" w:cstheme="majorBidi"/>
      <w:color w:val="548DD4" w:themeColor="text2" w:themeTint="99"/>
      <w:sz w:val="28"/>
      <w:szCs w:val="28"/>
    </w:rPr>
  </w:style>
  <w:style w:type="character" w:customStyle="1" w:styleId="Heading2Char">
    <w:name w:val="Heading 2 Char"/>
    <w:basedOn w:val="DefaultParagraphFont"/>
    <w:link w:val="Heading2"/>
    <w:uiPriority w:val="9"/>
    <w:rsid w:val="00B04299"/>
    <w:rPr>
      <w:rFonts w:eastAsiaTheme="majorEastAsia" w:cstheme="majorBidi"/>
      <w:color w:val="365F91" w:themeColor="accent1" w:themeShade="BF"/>
      <w:sz w:val="26"/>
      <w:szCs w:val="26"/>
    </w:rPr>
  </w:style>
  <w:style w:type="character" w:customStyle="1" w:styleId="Heading3Char">
    <w:name w:val="Heading 3 Char"/>
    <w:basedOn w:val="DefaultParagraphFont"/>
    <w:link w:val="Heading3"/>
    <w:uiPriority w:val="9"/>
    <w:rsid w:val="00B04299"/>
    <w:rPr>
      <w:rFonts w:eastAsiaTheme="majorEastAsia" w:cstheme="majorBidi"/>
      <w:color w:val="243F60" w:themeColor="accent1" w:themeShade="7F"/>
      <w:lang w:val="en-US"/>
    </w:rPr>
  </w:style>
  <w:style w:type="paragraph" w:styleId="Caption">
    <w:name w:val="caption"/>
    <w:basedOn w:val="Normal"/>
    <w:next w:val="Normal"/>
    <w:autoRedefine/>
    <w:uiPriority w:val="35"/>
    <w:unhideWhenUsed/>
    <w:qFormat/>
    <w:rsid w:val="00B04299"/>
    <w:pPr>
      <w:spacing w:after="200" w:line="240" w:lineRule="auto"/>
    </w:pPr>
    <w:rPr>
      <w:iCs/>
      <w:color w:val="365F91" w:themeColor="accent1" w:themeShade="BF"/>
      <w:sz w:val="22"/>
      <w:szCs w:val="22"/>
    </w:rPr>
  </w:style>
  <w:style w:type="paragraph" w:styleId="Header">
    <w:name w:val="header"/>
    <w:basedOn w:val="Normal"/>
    <w:link w:val="HeaderChar"/>
    <w:uiPriority w:val="99"/>
    <w:unhideWhenUsed/>
    <w:rsid w:val="0009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2B"/>
  </w:style>
  <w:style w:type="paragraph" w:styleId="Footer">
    <w:name w:val="footer"/>
    <w:basedOn w:val="Normal"/>
    <w:link w:val="FooterChar"/>
    <w:uiPriority w:val="99"/>
    <w:unhideWhenUsed/>
    <w:rsid w:val="0009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2B"/>
  </w:style>
  <w:style w:type="character" w:styleId="LineNumber">
    <w:name w:val="line number"/>
    <w:basedOn w:val="DefaultParagraphFont"/>
    <w:uiPriority w:val="99"/>
    <w:semiHidden/>
    <w:unhideWhenUsed/>
    <w:rsid w:val="00125159"/>
  </w:style>
  <w:style w:type="paragraph" w:styleId="TOC1">
    <w:name w:val="toc 1"/>
    <w:basedOn w:val="Normal"/>
    <w:next w:val="Normal"/>
    <w:autoRedefine/>
    <w:uiPriority w:val="39"/>
    <w:unhideWhenUsed/>
    <w:rsid w:val="00D07928"/>
    <w:pPr>
      <w:spacing w:after="100"/>
    </w:pPr>
  </w:style>
  <w:style w:type="character" w:customStyle="1" w:styleId="authors">
    <w:name w:val="authors"/>
    <w:basedOn w:val="DefaultParagraphFont"/>
    <w:rsid w:val="00AB3D4F"/>
  </w:style>
  <w:style w:type="character" w:customStyle="1" w:styleId="Datum1">
    <w:name w:val="Datum1"/>
    <w:basedOn w:val="DefaultParagraphFont"/>
    <w:rsid w:val="00AB3D4F"/>
  </w:style>
  <w:style w:type="character" w:customStyle="1" w:styleId="arttitle">
    <w:name w:val="art_title"/>
    <w:basedOn w:val="DefaultParagraphFont"/>
    <w:rsid w:val="00AB3D4F"/>
  </w:style>
  <w:style w:type="character" w:customStyle="1" w:styleId="serialtitle">
    <w:name w:val="serial_title"/>
    <w:basedOn w:val="DefaultParagraphFont"/>
    <w:rsid w:val="00AB3D4F"/>
  </w:style>
  <w:style w:type="character" w:customStyle="1" w:styleId="volumeissue">
    <w:name w:val="volume_issue"/>
    <w:basedOn w:val="DefaultParagraphFont"/>
    <w:rsid w:val="00AB3D4F"/>
  </w:style>
  <w:style w:type="character" w:customStyle="1" w:styleId="pagerange">
    <w:name w:val="page_range"/>
    <w:basedOn w:val="DefaultParagraphFont"/>
    <w:rsid w:val="00AB3D4F"/>
  </w:style>
  <w:style w:type="character" w:customStyle="1" w:styleId="doilink">
    <w:name w:val="doi_link"/>
    <w:basedOn w:val="DefaultParagraphFont"/>
    <w:rsid w:val="00AB3D4F"/>
  </w:style>
  <w:style w:type="paragraph" w:styleId="NormalWeb">
    <w:name w:val="Normal (Web)"/>
    <w:basedOn w:val="Normal"/>
    <w:uiPriority w:val="99"/>
    <w:unhideWhenUsed/>
    <w:rsid w:val="00BC505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lang w:val="de-DE" w:eastAsia="de-DE"/>
    </w:rPr>
  </w:style>
  <w:style w:type="character" w:customStyle="1" w:styleId="apple-converted-space">
    <w:name w:val="apple-converted-space"/>
    <w:basedOn w:val="DefaultParagraphFont"/>
    <w:rsid w:val="00FE7F8C"/>
  </w:style>
  <w:style w:type="character" w:customStyle="1" w:styleId="UnresolvedMention2">
    <w:name w:val="Unresolved Mention2"/>
    <w:basedOn w:val="DefaultParagraphFont"/>
    <w:uiPriority w:val="99"/>
    <w:semiHidden/>
    <w:unhideWhenUsed/>
    <w:rsid w:val="0089692E"/>
    <w:rPr>
      <w:color w:val="605E5C"/>
      <w:shd w:val="clear" w:color="auto" w:fill="E1DFDD"/>
    </w:rPr>
  </w:style>
  <w:style w:type="paragraph" w:styleId="ListParagraph">
    <w:name w:val="List Paragraph"/>
    <w:basedOn w:val="Normal"/>
    <w:uiPriority w:val="34"/>
    <w:qFormat/>
    <w:rsid w:val="00086545"/>
    <w:pPr>
      <w:ind w:left="720"/>
      <w:contextualSpacing/>
    </w:pPr>
  </w:style>
  <w:style w:type="paragraph" w:styleId="FootnoteText">
    <w:name w:val="footnote text"/>
    <w:basedOn w:val="Normal"/>
    <w:link w:val="FootnoteTextChar"/>
    <w:uiPriority w:val="99"/>
    <w:semiHidden/>
    <w:unhideWhenUsed/>
    <w:rsid w:val="00086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545"/>
    <w:rPr>
      <w:sz w:val="20"/>
      <w:szCs w:val="20"/>
    </w:rPr>
  </w:style>
  <w:style w:type="character" w:styleId="FootnoteReference">
    <w:name w:val="footnote reference"/>
    <w:basedOn w:val="DefaultParagraphFont"/>
    <w:uiPriority w:val="99"/>
    <w:semiHidden/>
    <w:unhideWhenUsed/>
    <w:rsid w:val="00086545"/>
    <w:rPr>
      <w:vertAlign w:val="superscript"/>
    </w:rPr>
  </w:style>
  <w:style w:type="paragraph" w:styleId="Revision">
    <w:name w:val="Revision"/>
    <w:hidden/>
    <w:uiPriority w:val="99"/>
    <w:semiHidden/>
    <w:rsid w:val="009A505A"/>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table" w:styleId="TableGrid">
    <w:name w:val="Table Grid"/>
    <w:basedOn w:val="TableNormal"/>
    <w:uiPriority w:val="39"/>
    <w:rsid w:val="005E6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79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648">
      <w:bodyDiv w:val="1"/>
      <w:marLeft w:val="0"/>
      <w:marRight w:val="0"/>
      <w:marTop w:val="0"/>
      <w:marBottom w:val="0"/>
      <w:divBdr>
        <w:top w:val="none" w:sz="0" w:space="0" w:color="auto"/>
        <w:left w:val="none" w:sz="0" w:space="0" w:color="auto"/>
        <w:bottom w:val="none" w:sz="0" w:space="0" w:color="auto"/>
        <w:right w:val="none" w:sz="0" w:space="0" w:color="auto"/>
      </w:divBdr>
    </w:div>
    <w:div w:id="46804815">
      <w:bodyDiv w:val="1"/>
      <w:marLeft w:val="0"/>
      <w:marRight w:val="0"/>
      <w:marTop w:val="0"/>
      <w:marBottom w:val="0"/>
      <w:divBdr>
        <w:top w:val="none" w:sz="0" w:space="0" w:color="auto"/>
        <w:left w:val="none" w:sz="0" w:space="0" w:color="auto"/>
        <w:bottom w:val="none" w:sz="0" w:space="0" w:color="auto"/>
        <w:right w:val="none" w:sz="0" w:space="0" w:color="auto"/>
      </w:divBdr>
    </w:div>
    <w:div w:id="47346763">
      <w:bodyDiv w:val="1"/>
      <w:marLeft w:val="0"/>
      <w:marRight w:val="0"/>
      <w:marTop w:val="0"/>
      <w:marBottom w:val="0"/>
      <w:divBdr>
        <w:top w:val="none" w:sz="0" w:space="0" w:color="auto"/>
        <w:left w:val="none" w:sz="0" w:space="0" w:color="auto"/>
        <w:bottom w:val="none" w:sz="0" w:space="0" w:color="auto"/>
        <w:right w:val="none" w:sz="0" w:space="0" w:color="auto"/>
      </w:divBdr>
    </w:div>
    <w:div w:id="116801921">
      <w:bodyDiv w:val="1"/>
      <w:marLeft w:val="0"/>
      <w:marRight w:val="0"/>
      <w:marTop w:val="0"/>
      <w:marBottom w:val="0"/>
      <w:divBdr>
        <w:top w:val="none" w:sz="0" w:space="0" w:color="auto"/>
        <w:left w:val="none" w:sz="0" w:space="0" w:color="auto"/>
        <w:bottom w:val="none" w:sz="0" w:space="0" w:color="auto"/>
        <w:right w:val="none" w:sz="0" w:space="0" w:color="auto"/>
      </w:divBdr>
      <w:divsChild>
        <w:div w:id="1774082471">
          <w:marLeft w:val="0"/>
          <w:marRight w:val="0"/>
          <w:marTop w:val="0"/>
          <w:marBottom w:val="0"/>
          <w:divBdr>
            <w:top w:val="none" w:sz="0" w:space="0" w:color="auto"/>
            <w:left w:val="none" w:sz="0" w:space="0" w:color="auto"/>
            <w:bottom w:val="none" w:sz="0" w:space="0" w:color="auto"/>
            <w:right w:val="none" w:sz="0" w:space="0" w:color="auto"/>
          </w:divBdr>
          <w:divsChild>
            <w:div w:id="2055930950">
              <w:marLeft w:val="0"/>
              <w:marRight w:val="0"/>
              <w:marTop w:val="0"/>
              <w:marBottom w:val="0"/>
              <w:divBdr>
                <w:top w:val="none" w:sz="0" w:space="0" w:color="auto"/>
                <w:left w:val="none" w:sz="0" w:space="0" w:color="auto"/>
                <w:bottom w:val="none" w:sz="0" w:space="0" w:color="auto"/>
                <w:right w:val="none" w:sz="0" w:space="0" w:color="auto"/>
              </w:divBdr>
              <w:divsChild>
                <w:div w:id="76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9184">
      <w:bodyDiv w:val="1"/>
      <w:marLeft w:val="0"/>
      <w:marRight w:val="0"/>
      <w:marTop w:val="0"/>
      <w:marBottom w:val="0"/>
      <w:divBdr>
        <w:top w:val="none" w:sz="0" w:space="0" w:color="auto"/>
        <w:left w:val="none" w:sz="0" w:space="0" w:color="auto"/>
        <w:bottom w:val="none" w:sz="0" w:space="0" w:color="auto"/>
        <w:right w:val="none" w:sz="0" w:space="0" w:color="auto"/>
      </w:divBdr>
    </w:div>
    <w:div w:id="124128618">
      <w:bodyDiv w:val="1"/>
      <w:marLeft w:val="0"/>
      <w:marRight w:val="0"/>
      <w:marTop w:val="0"/>
      <w:marBottom w:val="0"/>
      <w:divBdr>
        <w:top w:val="none" w:sz="0" w:space="0" w:color="auto"/>
        <w:left w:val="none" w:sz="0" w:space="0" w:color="auto"/>
        <w:bottom w:val="none" w:sz="0" w:space="0" w:color="auto"/>
        <w:right w:val="none" w:sz="0" w:space="0" w:color="auto"/>
      </w:divBdr>
    </w:div>
    <w:div w:id="144130891">
      <w:bodyDiv w:val="1"/>
      <w:marLeft w:val="0"/>
      <w:marRight w:val="0"/>
      <w:marTop w:val="0"/>
      <w:marBottom w:val="0"/>
      <w:divBdr>
        <w:top w:val="none" w:sz="0" w:space="0" w:color="auto"/>
        <w:left w:val="none" w:sz="0" w:space="0" w:color="auto"/>
        <w:bottom w:val="none" w:sz="0" w:space="0" w:color="auto"/>
        <w:right w:val="none" w:sz="0" w:space="0" w:color="auto"/>
      </w:divBdr>
    </w:div>
    <w:div w:id="144931955">
      <w:bodyDiv w:val="1"/>
      <w:marLeft w:val="0"/>
      <w:marRight w:val="0"/>
      <w:marTop w:val="0"/>
      <w:marBottom w:val="0"/>
      <w:divBdr>
        <w:top w:val="none" w:sz="0" w:space="0" w:color="auto"/>
        <w:left w:val="none" w:sz="0" w:space="0" w:color="auto"/>
        <w:bottom w:val="none" w:sz="0" w:space="0" w:color="auto"/>
        <w:right w:val="none" w:sz="0" w:space="0" w:color="auto"/>
      </w:divBdr>
    </w:div>
    <w:div w:id="155272121">
      <w:bodyDiv w:val="1"/>
      <w:marLeft w:val="0"/>
      <w:marRight w:val="0"/>
      <w:marTop w:val="0"/>
      <w:marBottom w:val="0"/>
      <w:divBdr>
        <w:top w:val="none" w:sz="0" w:space="0" w:color="auto"/>
        <w:left w:val="none" w:sz="0" w:space="0" w:color="auto"/>
        <w:bottom w:val="none" w:sz="0" w:space="0" w:color="auto"/>
        <w:right w:val="none" w:sz="0" w:space="0" w:color="auto"/>
      </w:divBdr>
    </w:div>
    <w:div w:id="164370095">
      <w:bodyDiv w:val="1"/>
      <w:marLeft w:val="0"/>
      <w:marRight w:val="0"/>
      <w:marTop w:val="0"/>
      <w:marBottom w:val="0"/>
      <w:divBdr>
        <w:top w:val="none" w:sz="0" w:space="0" w:color="auto"/>
        <w:left w:val="none" w:sz="0" w:space="0" w:color="auto"/>
        <w:bottom w:val="none" w:sz="0" w:space="0" w:color="auto"/>
        <w:right w:val="none" w:sz="0" w:space="0" w:color="auto"/>
      </w:divBdr>
    </w:div>
    <w:div w:id="169029097">
      <w:bodyDiv w:val="1"/>
      <w:marLeft w:val="0"/>
      <w:marRight w:val="0"/>
      <w:marTop w:val="0"/>
      <w:marBottom w:val="0"/>
      <w:divBdr>
        <w:top w:val="none" w:sz="0" w:space="0" w:color="auto"/>
        <w:left w:val="none" w:sz="0" w:space="0" w:color="auto"/>
        <w:bottom w:val="none" w:sz="0" w:space="0" w:color="auto"/>
        <w:right w:val="none" w:sz="0" w:space="0" w:color="auto"/>
      </w:divBdr>
    </w:div>
    <w:div w:id="202907087">
      <w:bodyDiv w:val="1"/>
      <w:marLeft w:val="0"/>
      <w:marRight w:val="0"/>
      <w:marTop w:val="0"/>
      <w:marBottom w:val="0"/>
      <w:divBdr>
        <w:top w:val="none" w:sz="0" w:space="0" w:color="auto"/>
        <w:left w:val="none" w:sz="0" w:space="0" w:color="auto"/>
        <w:bottom w:val="none" w:sz="0" w:space="0" w:color="auto"/>
        <w:right w:val="none" w:sz="0" w:space="0" w:color="auto"/>
      </w:divBdr>
    </w:div>
    <w:div w:id="235088266">
      <w:bodyDiv w:val="1"/>
      <w:marLeft w:val="0"/>
      <w:marRight w:val="0"/>
      <w:marTop w:val="0"/>
      <w:marBottom w:val="0"/>
      <w:divBdr>
        <w:top w:val="none" w:sz="0" w:space="0" w:color="auto"/>
        <w:left w:val="none" w:sz="0" w:space="0" w:color="auto"/>
        <w:bottom w:val="none" w:sz="0" w:space="0" w:color="auto"/>
        <w:right w:val="none" w:sz="0" w:space="0" w:color="auto"/>
      </w:divBdr>
    </w:div>
    <w:div w:id="235091996">
      <w:bodyDiv w:val="1"/>
      <w:marLeft w:val="0"/>
      <w:marRight w:val="0"/>
      <w:marTop w:val="0"/>
      <w:marBottom w:val="0"/>
      <w:divBdr>
        <w:top w:val="none" w:sz="0" w:space="0" w:color="auto"/>
        <w:left w:val="none" w:sz="0" w:space="0" w:color="auto"/>
        <w:bottom w:val="none" w:sz="0" w:space="0" w:color="auto"/>
        <w:right w:val="none" w:sz="0" w:space="0" w:color="auto"/>
      </w:divBdr>
      <w:divsChild>
        <w:div w:id="1866753465">
          <w:marLeft w:val="0"/>
          <w:marRight w:val="0"/>
          <w:marTop w:val="0"/>
          <w:marBottom w:val="0"/>
          <w:divBdr>
            <w:top w:val="none" w:sz="0" w:space="0" w:color="auto"/>
            <w:left w:val="none" w:sz="0" w:space="0" w:color="auto"/>
            <w:bottom w:val="none" w:sz="0" w:space="0" w:color="auto"/>
            <w:right w:val="none" w:sz="0" w:space="0" w:color="auto"/>
          </w:divBdr>
        </w:div>
        <w:div w:id="492182350">
          <w:marLeft w:val="0"/>
          <w:marRight w:val="0"/>
          <w:marTop w:val="0"/>
          <w:marBottom w:val="0"/>
          <w:divBdr>
            <w:top w:val="none" w:sz="0" w:space="0" w:color="auto"/>
            <w:left w:val="none" w:sz="0" w:space="0" w:color="auto"/>
            <w:bottom w:val="none" w:sz="0" w:space="0" w:color="auto"/>
            <w:right w:val="none" w:sz="0" w:space="0" w:color="auto"/>
          </w:divBdr>
        </w:div>
      </w:divsChild>
    </w:div>
    <w:div w:id="271321338">
      <w:bodyDiv w:val="1"/>
      <w:marLeft w:val="0"/>
      <w:marRight w:val="0"/>
      <w:marTop w:val="0"/>
      <w:marBottom w:val="0"/>
      <w:divBdr>
        <w:top w:val="none" w:sz="0" w:space="0" w:color="auto"/>
        <w:left w:val="none" w:sz="0" w:space="0" w:color="auto"/>
        <w:bottom w:val="none" w:sz="0" w:space="0" w:color="auto"/>
        <w:right w:val="none" w:sz="0" w:space="0" w:color="auto"/>
      </w:divBdr>
    </w:div>
    <w:div w:id="288048908">
      <w:bodyDiv w:val="1"/>
      <w:marLeft w:val="0"/>
      <w:marRight w:val="0"/>
      <w:marTop w:val="0"/>
      <w:marBottom w:val="0"/>
      <w:divBdr>
        <w:top w:val="none" w:sz="0" w:space="0" w:color="auto"/>
        <w:left w:val="none" w:sz="0" w:space="0" w:color="auto"/>
        <w:bottom w:val="none" w:sz="0" w:space="0" w:color="auto"/>
        <w:right w:val="none" w:sz="0" w:space="0" w:color="auto"/>
      </w:divBdr>
    </w:div>
    <w:div w:id="300423472">
      <w:bodyDiv w:val="1"/>
      <w:marLeft w:val="0"/>
      <w:marRight w:val="0"/>
      <w:marTop w:val="0"/>
      <w:marBottom w:val="0"/>
      <w:divBdr>
        <w:top w:val="none" w:sz="0" w:space="0" w:color="auto"/>
        <w:left w:val="none" w:sz="0" w:space="0" w:color="auto"/>
        <w:bottom w:val="none" w:sz="0" w:space="0" w:color="auto"/>
        <w:right w:val="none" w:sz="0" w:space="0" w:color="auto"/>
      </w:divBdr>
    </w:div>
    <w:div w:id="309361552">
      <w:bodyDiv w:val="1"/>
      <w:marLeft w:val="0"/>
      <w:marRight w:val="0"/>
      <w:marTop w:val="0"/>
      <w:marBottom w:val="0"/>
      <w:divBdr>
        <w:top w:val="none" w:sz="0" w:space="0" w:color="auto"/>
        <w:left w:val="none" w:sz="0" w:space="0" w:color="auto"/>
        <w:bottom w:val="none" w:sz="0" w:space="0" w:color="auto"/>
        <w:right w:val="none" w:sz="0" w:space="0" w:color="auto"/>
      </w:divBdr>
    </w:div>
    <w:div w:id="357657190">
      <w:bodyDiv w:val="1"/>
      <w:marLeft w:val="0"/>
      <w:marRight w:val="0"/>
      <w:marTop w:val="0"/>
      <w:marBottom w:val="0"/>
      <w:divBdr>
        <w:top w:val="none" w:sz="0" w:space="0" w:color="auto"/>
        <w:left w:val="none" w:sz="0" w:space="0" w:color="auto"/>
        <w:bottom w:val="none" w:sz="0" w:space="0" w:color="auto"/>
        <w:right w:val="none" w:sz="0" w:space="0" w:color="auto"/>
      </w:divBdr>
    </w:div>
    <w:div w:id="379717275">
      <w:bodyDiv w:val="1"/>
      <w:marLeft w:val="0"/>
      <w:marRight w:val="0"/>
      <w:marTop w:val="0"/>
      <w:marBottom w:val="0"/>
      <w:divBdr>
        <w:top w:val="none" w:sz="0" w:space="0" w:color="auto"/>
        <w:left w:val="none" w:sz="0" w:space="0" w:color="auto"/>
        <w:bottom w:val="none" w:sz="0" w:space="0" w:color="auto"/>
        <w:right w:val="none" w:sz="0" w:space="0" w:color="auto"/>
      </w:divBdr>
    </w:div>
    <w:div w:id="389577253">
      <w:bodyDiv w:val="1"/>
      <w:marLeft w:val="0"/>
      <w:marRight w:val="0"/>
      <w:marTop w:val="0"/>
      <w:marBottom w:val="0"/>
      <w:divBdr>
        <w:top w:val="none" w:sz="0" w:space="0" w:color="auto"/>
        <w:left w:val="none" w:sz="0" w:space="0" w:color="auto"/>
        <w:bottom w:val="none" w:sz="0" w:space="0" w:color="auto"/>
        <w:right w:val="none" w:sz="0" w:space="0" w:color="auto"/>
      </w:divBdr>
    </w:div>
    <w:div w:id="397745955">
      <w:bodyDiv w:val="1"/>
      <w:marLeft w:val="0"/>
      <w:marRight w:val="0"/>
      <w:marTop w:val="0"/>
      <w:marBottom w:val="0"/>
      <w:divBdr>
        <w:top w:val="none" w:sz="0" w:space="0" w:color="auto"/>
        <w:left w:val="none" w:sz="0" w:space="0" w:color="auto"/>
        <w:bottom w:val="none" w:sz="0" w:space="0" w:color="auto"/>
        <w:right w:val="none" w:sz="0" w:space="0" w:color="auto"/>
      </w:divBdr>
    </w:div>
    <w:div w:id="433869973">
      <w:bodyDiv w:val="1"/>
      <w:marLeft w:val="0"/>
      <w:marRight w:val="0"/>
      <w:marTop w:val="0"/>
      <w:marBottom w:val="0"/>
      <w:divBdr>
        <w:top w:val="none" w:sz="0" w:space="0" w:color="auto"/>
        <w:left w:val="none" w:sz="0" w:space="0" w:color="auto"/>
        <w:bottom w:val="none" w:sz="0" w:space="0" w:color="auto"/>
        <w:right w:val="none" w:sz="0" w:space="0" w:color="auto"/>
      </w:divBdr>
    </w:div>
    <w:div w:id="435373537">
      <w:bodyDiv w:val="1"/>
      <w:marLeft w:val="0"/>
      <w:marRight w:val="0"/>
      <w:marTop w:val="0"/>
      <w:marBottom w:val="0"/>
      <w:divBdr>
        <w:top w:val="none" w:sz="0" w:space="0" w:color="auto"/>
        <w:left w:val="none" w:sz="0" w:space="0" w:color="auto"/>
        <w:bottom w:val="none" w:sz="0" w:space="0" w:color="auto"/>
        <w:right w:val="none" w:sz="0" w:space="0" w:color="auto"/>
      </w:divBdr>
    </w:div>
    <w:div w:id="519708511">
      <w:bodyDiv w:val="1"/>
      <w:marLeft w:val="0"/>
      <w:marRight w:val="0"/>
      <w:marTop w:val="0"/>
      <w:marBottom w:val="0"/>
      <w:divBdr>
        <w:top w:val="none" w:sz="0" w:space="0" w:color="auto"/>
        <w:left w:val="none" w:sz="0" w:space="0" w:color="auto"/>
        <w:bottom w:val="none" w:sz="0" w:space="0" w:color="auto"/>
        <w:right w:val="none" w:sz="0" w:space="0" w:color="auto"/>
      </w:divBdr>
    </w:div>
    <w:div w:id="527258962">
      <w:bodyDiv w:val="1"/>
      <w:marLeft w:val="0"/>
      <w:marRight w:val="0"/>
      <w:marTop w:val="0"/>
      <w:marBottom w:val="0"/>
      <w:divBdr>
        <w:top w:val="none" w:sz="0" w:space="0" w:color="auto"/>
        <w:left w:val="none" w:sz="0" w:space="0" w:color="auto"/>
        <w:bottom w:val="none" w:sz="0" w:space="0" w:color="auto"/>
        <w:right w:val="none" w:sz="0" w:space="0" w:color="auto"/>
      </w:divBdr>
    </w:div>
    <w:div w:id="533690771">
      <w:bodyDiv w:val="1"/>
      <w:marLeft w:val="0"/>
      <w:marRight w:val="0"/>
      <w:marTop w:val="0"/>
      <w:marBottom w:val="0"/>
      <w:divBdr>
        <w:top w:val="none" w:sz="0" w:space="0" w:color="auto"/>
        <w:left w:val="none" w:sz="0" w:space="0" w:color="auto"/>
        <w:bottom w:val="none" w:sz="0" w:space="0" w:color="auto"/>
        <w:right w:val="none" w:sz="0" w:space="0" w:color="auto"/>
      </w:divBdr>
    </w:div>
    <w:div w:id="540360787">
      <w:bodyDiv w:val="1"/>
      <w:marLeft w:val="0"/>
      <w:marRight w:val="0"/>
      <w:marTop w:val="0"/>
      <w:marBottom w:val="0"/>
      <w:divBdr>
        <w:top w:val="none" w:sz="0" w:space="0" w:color="auto"/>
        <w:left w:val="none" w:sz="0" w:space="0" w:color="auto"/>
        <w:bottom w:val="none" w:sz="0" w:space="0" w:color="auto"/>
        <w:right w:val="none" w:sz="0" w:space="0" w:color="auto"/>
      </w:divBdr>
    </w:div>
    <w:div w:id="561714664">
      <w:bodyDiv w:val="1"/>
      <w:marLeft w:val="0"/>
      <w:marRight w:val="0"/>
      <w:marTop w:val="0"/>
      <w:marBottom w:val="0"/>
      <w:divBdr>
        <w:top w:val="none" w:sz="0" w:space="0" w:color="auto"/>
        <w:left w:val="none" w:sz="0" w:space="0" w:color="auto"/>
        <w:bottom w:val="none" w:sz="0" w:space="0" w:color="auto"/>
        <w:right w:val="none" w:sz="0" w:space="0" w:color="auto"/>
      </w:divBdr>
      <w:divsChild>
        <w:div w:id="528107288">
          <w:marLeft w:val="0"/>
          <w:marRight w:val="0"/>
          <w:marTop w:val="0"/>
          <w:marBottom w:val="75"/>
          <w:divBdr>
            <w:top w:val="none" w:sz="0" w:space="0" w:color="auto"/>
            <w:left w:val="none" w:sz="0" w:space="0" w:color="auto"/>
            <w:bottom w:val="none" w:sz="0" w:space="0" w:color="auto"/>
            <w:right w:val="none" w:sz="0" w:space="0" w:color="auto"/>
          </w:divBdr>
        </w:div>
        <w:div w:id="857818204">
          <w:marLeft w:val="0"/>
          <w:marRight w:val="0"/>
          <w:marTop w:val="0"/>
          <w:marBottom w:val="75"/>
          <w:divBdr>
            <w:top w:val="none" w:sz="0" w:space="0" w:color="auto"/>
            <w:left w:val="none" w:sz="0" w:space="0" w:color="auto"/>
            <w:bottom w:val="none" w:sz="0" w:space="0" w:color="auto"/>
            <w:right w:val="none" w:sz="0" w:space="0" w:color="auto"/>
          </w:divBdr>
        </w:div>
      </w:divsChild>
    </w:div>
    <w:div w:id="576287333">
      <w:bodyDiv w:val="1"/>
      <w:marLeft w:val="0"/>
      <w:marRight w:val="0"/>
      <w:marTop w:val="0"/>
      <w:marBottom w:val="0"/>
      <w:divBdr>
        <w:top w:val="none" w:sz="0" w:space="0" w:color="auto"/>
        <w:left w:val="none" w:sz="0" w:space="0" w:color="auto"/>
        <w:bottom w:val="none" w:sz="0" w:space="0" w:color="auto"/>
        <w:right w:val="none" w:sz="0" w:space="0" w:color="auto"/>
      </w:divBdr>
    </w:div>
    <w:div w:id="646518862">
      <w:bodyDiv w:val="1"/>
      <w:marLeft w:val="0"/>
      <w:marRight w:val="0"/>
      <w:marTop w:val="0"/>
      <w:marBottom w:val="0"/>
      <w:divBdr>
        <w:top w:val="none" w:sz="0" w:space="0" w:color="auto"/>
        <w:left w:val="none" w:sz="0" w:space="0" w:color="auto"/>
        <w:bottom w:val="none" w:sz="0" w:space="0" w:color="auto"/>
        <w:right w:val="none" w:sz="0" w:space="0" w:color="auto"/>
      </w:divBdr>
    </w:div>
    <w:div w:id="661276902">
      <w:bodyDiv w:val="1"/>
      <w:marLeft w:val="0"/>
      <w:marRight w:val="0"/>
      <w:marTop w:val="0"/>
      <w:marBottom w:val="0"/>
      <w:divBdr>
        <w:top w:val="none" w:sz="0" w:space="0" w:color="auto"/>
        <w:left w:val="none" w:sz="0" w:space="0" w:color="auto"/>
        <w:bottom w:val="none" w:sz="0" w:space="0" w:color="auto"/>
        <w:right w:val="none" w:sz="0" w:space="0" w:color="auto"/>
      </w:divBdr>
    </w:div>
    <w:div w:id="666638449">
      <w:bodyDiv w:val="1"/>
      <w:marLeft w:val="0"/>
      <w:marRight w:val="0"/>
      <w:marTop w:val="0"/>
      <w:marBottom w:val="0"/>
      <w:divBdr>
        <w:top w:val="none" w:sz="0" w:space="0" w:color="auto"/>
        <w:left w:val="none" w:sz="0" w:space="0" w:color="auto"/>
        <w:bottom w:val="none" w:sz="0" w:space="0" w:color="auto"/>
        <w:right w:val="none" w:sz="0" w:space="0" w:color="auto"/>
      </w:divBdr>
      <w:divsChild>
        <w:div w:id="745958034">
          <w:marLeft w:val="0"/>
          <w:marRight w:val="0"/>
          <w:marTop w:val="0"/>
          <w:marBottom w:val="0"/>
          <w:divBdr>
            <w:top w:val="none" w:sz="0" w:space="0" w:color="auto"/>
            <w:left w:val="none" w:sz="0" w:space="0" w:color="auto"/>
            <w:bottom w:val="none" w:sz="0" w:space="0" w:color="auto"/>
            <w:right w:val="none" w:sz="0" w:space="0" w:color="auto"/>
          </w:divBdr>
        </w:div>
        <w:div w:id="2081974417">
          <w:marLeft w:val="0"/>
          <w:marRight w:val="0"/>
          <w:marTop w:val="0"/>
          <w:marBottom w:val="0"/>
          <w:divBdr>
            <w:top w:val="none" w:sz="0" w:space="0" w:color="auto"/>
            <w:left w:val="none" w:sz="0" w:space="0" w:color="auto"/>
            <w:bottom w:val="none" w:sz="0" w:space="0" w:color="auto"/>
            <w:right w:val="none" w:sz="0" w:space="0" w:color="auto"/>
          </w:divBdr>
        </w:div>
      </w:divsChild>
    </w:div>
    <w:div w:id="714698311">
      <w:bodyDiv w:val="1"/>
      <w:marLeft w:val="0"/>
      <w:marRight w:val="0"/>
      <w:marTop w:val="0"/>
      <w:marBottom w:val="0"/>
      <w:divBdr>
        <w:top w:val="none" w:sz="0" w:space="0" w:color="auto"/>
        <w:left w:val="none" w:sz="0" w:space="0" w:color="auto"/>
        <w:bottom w:val="none" w:sz="0" w:space="0" w:color="auto"/>
        <w:right w:val="none" w:sz="0" w:space="0" w:color="auto"/>
      </w:divBdr>
    </w:div>
    <w:div w:id="719398764">
      <w:bodyDiv w:val="1"/>
      <w:marLeft w:val="0"/>
      <w:marRight w:val="0"/>
      <w:marTop w:val="0"/>
      <w:marBottom w:val="0"/>
      <w:divBdr>
        <w:top w:val="none" w:sz="0" w:space="0" w:color="auto"/>
        <w:left w:val="none" w:sz="0" w:space="0" w:color="auto"/>
        <w:bottom w:val="none" w:sz="0" w:space="0" w:color="auto"/>
        <w:right w:val="none" w:sz="0" w:space="0" w:color="auto"/>
      </w:divBdr>
    </w:div>
    <w:div w:id="722220132">
      <w:bodyDiv w:val="1"/>
      <w:marLeft w:val="0"/>
      <w:marRight w:val="0"/>
      <w:marTop w:val="0"/>
      <w:marBottom w:val="0"/>
      <w:divBdr>
        <w:top w:val="none" w:sz="0" w:space="0" w:color="auto"/>
        <w:left w:val="none" w:sz="0" w:space="0" w:color="auto"/>
        <w:bottom w:val="none" w:sz="0" w:space="0" w:color="auto"/>
        <w:right w:val="none" w:sz="0" w:space="0" w:color="auto"/>
      </w:divBdr>
    </w:div>
    <w:div w:id="722796699">
      <w:bodyDiv w:val="1"/>
      <w:marLeft w:val="0"/>
      <w:marRight w:val="0"/>
      <w:marTop w:val="0"/>
      <w:marBottom w:val="0"/>
      <w:divBdr>
        <w:top w:val="none" w:sz="0" w:space="0" w:color="auto"/>
        <w:left w:val="none" w:sz="0" w:space="0" w:color="auto"/>
        <w:bottom w:val="none" w:sz="0" w:space="0" w:color="auto"/>
        <w:right w:val="none" w:sz="0" w:space="0" w:color="auto"/>
      </w:divBdr>
    </w:div>
    <w:div w:id="771710016">
      <w:bodyDiv w:val="1"/>
      <w:marLeft w:val="0"/>
      <w:marRight w:val="0"/>
      <w:marTop w:val="0"/>
      <w:marBottom w:val="0"/>
      <w:divBdr>
        <w:top w:val="none" w:sz="0" w:space="0" w:color="auto"/>
        <w:left w:val="none" w:sz="0" w:space="0" w:color="auto"/>
        <w:bottom w:val="none" w:sz="0" w:space="0" w:color="auto"/>
        <w:right w:val="none" w:sz="0" w:space="0" w:color="auto"/>
      </w:divBdr>
    </w:div>
    <w:div w:id="799373108">
      <w:bodyDiv w:val="1"/>
      <w:marLeft w:val="0"/>
      <w:marRight w:val="0"/>
      <w:marTop w:val="0"/>
      <w:marBottom w:val="0"/>
      <w:divBdr>
        <w:top w:val="none" w:sz="0" w:space="0" w:color="auto"/>
        <w:left w:val="none" w:sz="0" w:space="0" w:color="auto"/>
        <w:bottom w:val="none" w:sz="0" w:space="0" w:color="auto"/>
        <w:right w:val="none" w:sz="0" w:space="0" w:color="auto"/>
      </w:divBdr>
    </w:div>
    <w:div w:id="808784813">
      <w:bodyDiv w:val="1"/>
      <w:marLeft w:val="0"/>
      <w:marRight w:val="0"/>
      <w:marTop w:val="0"/>
      <w:marBottom w:val="0"/>
      <w:divBdr>
        <w:top w:val="none" w:sz="0" w:space="0" w:color="auto"/>
        <w:left w:val="none" w:sz="0" w:space="0" w:color="auto"/>
        <w:bottom w:val="none" w:sz="0" w:space="0" w:color="auto"/>
        <w:right w:val="none" w:sz="0" w:space="0" w:color="auto"/>
      </w:divBdr>
    </w:div>
    <w:div w:id="829368446">
      <w:bodyDiv w:val="1"/>
      <w:marLeft w:val="0"/>
      <w:marRight w:val="0"/>
      <w:marTop w:val="0"/>
      <w:marBottom w:val="0"/>
      <w:divBdr>
        <w:top w:val="none" w:sz="0" w:space="0" w:color="auto"/>
        <w:left w:val="none" w:sz="0" w:space="0" w:color="auto"/>
        <w:bottom w:val="none" w:sz="0" w:space="0" w:color="auto"/>
        <w:right w:val="none" w:sz="0" w:space="0" w:color="auto"/>
      </w:divBdr>
    </w:div>
    <w:div w:id="830023324">
      <w:bodyDiv w:val="1"/>
      <w:marLeft w:val="0"/>
      <w:marRight w:val="0"/>
      <w:marTop w:val="0"/>
      <w:marBottom w:val="0"/>
      <w:divBdr>
        <w:top w:val="none" w:sz="0" w:space="0" w:color="auto"/>
        <w:left w:val="none" w:sz="0" w:space="0" w:color="auto"/>
        <w:bottom w:val="none" w:sz="0" w:space="0" w:color="auto"/>
        <w:right w:val="none" w:sz="0" w:space="0" w:color="auto"/>
      </w:divBdr>
      <w:divsChild>
        <w:div w:id="407193049">
          <w:marLeft w:val="0"/>
          <w:marRight w:val="0"/>
          <w:marTop w:val="0"/>
          <w:marBottom w:val="0"/>
          <w:divBdr>
            <w:top w:val="none" w:sz="0" w:space="0" w:color="auto"/>
            <w:left w:val="none" w:sz="0" w:space="0" w:color="auto"/>
            <w:bottom w:val="none" w:sz="0" w:space="0" w:color="auto"/>
            <w:right w:val="none" w:sz="0" w:space="0" w:color="auto"/>
          </w:divBdr>
          <w:divsChild>
            <w:div w:id="75595438">
              <w:marLeft w:val="0"/>
              <w:marRight w:val="0"/>
              <w:marTop w:val="0"/>
              <w:marBottom w:val="0"/>
              <w:divBdr>
                <w:top w:val="none" w:sz="0" w:space="0" w:color="auto"/>
                <w:left w:val="none" w:sz="0" w:space="0" w:color="auto"/>
                <w:bottom w:val="none" w:sz="0" w:space="0" w:color="auto"/>
                <w:right w:val="none" w:sz="0" w:space="0" w:color="auto"/>
              </w:divBdr>
              <w:divsChild>
                <w:div w:id="13665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59803">
      <w:bodyDiv w:val="1"/>
      <w:marLeft w:val="0"/>
      <w:marRight w:val="0"/>
      <w:marTop w:val="0"/>
      <w:marBottom w:val="0"/>
      <w:divBdr>
        <w:top w:val="none" w:sz="0" w:space="0" w:color="auto"/>
        <w:left w:val="none" w:sz="0" w:space="0" w:color="auto"/>
        <w:bottom w:val="none" w:sz="0" w:space="0" w:color="auto"/>
        <w:right w:val="none" w:sz="0" w:space="0" w:color="auto"/>
      </w:divBdr>
    </w:div>
    <w:div w:id="893152428">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911234718">
      <w:bodyDiv w:val="1"/>
      <w:marLeft w:val="0"/>
      <w:marRight w:val="0"/>
      <w:marTop w:val="0"/>
      <w:marBottom w:val="0"/>
      <w:divBdr>
        <w:top w:val="none" w:sz="0" w:space="0" w:color="auto"/>
        <w:left w:val="none" w:sz="0" w:space="0" w:color="auto"/>
        <w:bottom w:val="none" w:sz="0" w:space="0" w:color="auto"/>
        <w:right w:val="none" w:sz="0" w:space="0" w:color="auto"/>
      </w:divBdr>
    </w:div>
    <w:div w:id="916213391">
      <w:bodyDiv w:val="1"/>
      <w:marLeft w:val="0"/>
      <w:marRight w:val="0"/>
      <w:marTop w:val="0"/>
      <w:marBottom w:val="0"/>
      <w:divBdr>
        <w:top w:val="none" w:sz="0" w:space="0" w:color="auto"/>
        <w:left w:val="none" w:sz="0" w:space="0" w:color="auto"/>
        <w:bottom w:val="none" w:sz="0" w:space="0" w:color="auto"/>
        <w:right w:val="none" w:sz="0" w:space="0" w:color="auto"/>
      </w:divBdr>
    </w:div>
    <w:div w:id="947466563">
      <w:bodyDiv w:val="1"/>
      <w:marLeft w:val="0"/>
      <w:marRight w:val="0"/>
      <w:marTop w:val="0"/>
      <w:marBottom w:val="0"/>
      <w:divBdr>
        <w:top w:val="none" w:sz="0" w:space="0" w:color="auto"/>
        <w:left w:val="none" w:sz="0" w:space="0" w:color="auto"/>
        <w:bottom w:val="none" w:sz="0" w:space="0" w:color="auto"/>
        <w:right w:val="none" w:sz="0" w:space="0" w:color="auto"/>
      </w:divBdr>
    </w:div>
    <w:div w:id="963388882">
      <w:bodyDiv w:val="1"/>
      <w:marLeft w:val="0"/>
      <w:marRight w:val="0"/>
      <w:marTop w:val="0"/>
      <w:marBottom w:val="0"/>
      <w:divBdr>
        <w:top w:val="none" w:sz="0" w:space="0" w:color="auto"/>
        <w:left w:val="none" w:sz="0" w:space="0" w:color="auto"/>
        <w:bottom w:val="none" w:sz="0" w:space="0" w:color="auto"/>
        <w:right w:val="none" w:sz="0" w:space="0" w:color="auto"/>
      </w:divBdr>
    </w:div>
    <w:div w:id="977685995">
      <w:bodyDiv w:val="1"/>
      <w:marLeft w:val="0"/>
      <w:marRight w:val="0"/>
      <w:marTop w:val="0"/>
      <w:marBottom w:val="0"/>
      <w:divBdr>
        <w:top w:val="none" w:sz="0" w:space="0" w:color="auto"/>
        <w:left w:val="none" w:sz="0" w:space="0" w:color="auto"/>
        <w:bottom w:val="none" w:sz="0" w:space="0" w:color="auto"/>
        <w:right w:val="none" w:sz="0" w:space="0" w:color="auto"/>
      </w:divBdr>
    </w:div>
    <w:div w:id="984164966">
      <w:bodyDiv w:val="1"/>
      <w:marLeft w:val="0"/>
      <w:marRight w:val="0"/>
      <w:marTop w:val="0"/>
      <w:marBottom w:val="0"/>
      <w:divBdr>
        <w:top w:val="none" w:sz="0" w:space="0" w:color="auto"/>
        <w:left w:val="none" w:sz="0" w:space="0" w:color="auto"/>
        <w:bottom w:val="none" w:sz="0" w:space="0" w:color="auto"/>
        <w:right w:val="none" w:sz="0" w:space="0" w:color="auto"/>
      </w:divBdr>
    </w:div>
    <w:div w:id="1006861984">
      <w:bodyDiv w:val="1"/>
      <w:marLeft w:val="0"/>
      <w:marRight w:val="0"/>
      <w:marTop w:val="0"/>
      <w:marBottom w:val="0"/>
      <w:divBdr>
        <w:top w:val="none" w:sz="0" w:space="0" w:color="auto"/>
        <w:left w:val="none" w:sz="0" w:space="0" w:color="auto"/>
        <w:bottom w:val="none" w:sz="0" w:space="0" w:color="auto"/>
        <w:right w:val="none" w:sz="0" w:space="0" w:color="auto"/>
      </w:divBdr>
    </w:div>
    <w:div w:id="1009987597">
      <w:bodyDiv w:val="1"/>
      <w:marLeft w:val="0"/>
      <w:marRight w:val="0"/>
      <w:marTop w:val="0"/>
      <w:marBottom w:val="0"/>
      <w:divBdr>
        <w:top w:val="none" w:sz="0" w:space="0" w:color="auto"/>
        <w:left w:val="none" w:sz="0" w:space="0" w:color="auto"/>
        <w:bottom w:val="none" w:sz="0" w:space="0" w:color="auto"/>
        <w:right w:val="none" w:sz="0" w:space="0" w:color="auto"/>
      </w:divBdr>
    </w:div>
    <w:div w:id="1050767675">
      <w:bodyDiv w:val="1"/>
      <w:marLeft w:val="0"/>
      <w:marRight w:val="0"/>
      <w:marTop w:val="0"/>
      <w:marBottom w:val="0"/>
      <w:divBdr>
        <w:top w:val="none" w:sz="0" w:space="0" w:color="auto"/>
        <w:left w:val="none" w:sz="0" w:space="0" w:color="auto"/>
        <w:bottom w:val="none" w:sz="0" w:space="0" w:color="auto"/>
        <w:right w:val="none" w:sz="0" w:space="0" w:color="auto"/>
      </w:divBdr>
    </w:div>
    <w:div w:id="1051340538">
      <w:bodyDiv w:val="1"/>
      <w:marLeft w:val="0"/>
      <w:marRight w:val="0"/>
      <w:marTop w:val="0"/>
      <w:marBottom w:val="0"/>
      <w:divBdr>
        <w:top w:val="none" w:sz="0" w:space="0" w:color="auto"/>
        <w:left w:val="none" w:sz="0" w:space="0" w:color="auto"/>
        <w:bottom w:val="none" w:sz="0" w:space="0" w:color="auto"/>
        <w:right w:val="none" w:sz="0" w:space="0" w:color="auto"/>
      </w:divBdr>
    </w:div>
    <w:div w:id="1165634357">
      <w:bodyDiv w:val="1"/>
      <w:marLeft w:val="0"/>
      <w:marRight w:val="0"/>
      <w:marTop w:val="0"/>
      <w:marBottom w:val="0"/>
      <w:divBdr>
        <w:top w:val="none" w:sz="0" w:space="0" w:color="auto"/>
        <w:left w:val="none" w:sz="0" w:space="0" w:color="auto"/>
        <w:bottom w:val="none" w:sz="0" w:space="0" w:color="auto"/>
        <w:right w:val="none" w:sz="0" w:space="0" w:color="auto"/>
      </w:divBdr>
    </w:div>
    <w:div w:id="1168128989">
      <w:bodyDiv w:val="1"/>
      <w:marLeft w:val="0"/>
      <w:marRight w:val="0"/>
      <w:marTop w:val="0"/>
      <w:marBottom w:val="0"/>
      <w:divBdr>
        <w:top w:val="none" w:sz="0" w:space="0" w:color="auto"/>
        <w:left w:val="none" w:sz="0" w:space="0" w:color="auto"/>
        <w:bottom w:val="none" w:sz="0" w:space="0" w:color="auto"/>
        <w:right w:val="none" w:sz="0" w:space="0" w:color="auto"/>
      </w:divBdr>
    </w:div>
    <w:div w:id="1175223054">
      <w:bodyDiv w:val="1"/>
      <w:marLeft w:val="0"/>
      <w:marRight w:val="0"/>
      <w:marTop w:val="0"/>
      <w:marBottom w:val="0"/>
      <w:divBdr>
        <w:top w:val="none" w:sz="0" w:space="0" w:color="auto"/>
        <w:left w:val="none" w:sz="0" w:space="0" w:color="auto"/>
        <w:bottom w:val="none" w:sz="0" w:space="0" w:color="auto"/>
        <w:right w:val="none" w:sz="0" w:space="0" w:color="auto"/>
      </w:divBdr>
    </w:div>
    <w:div w:id="1186020692">
      <w:bodyDiv w:val="1"/>
      <w:marLeft w:val="0"/>
      <w:marRight w:val="0"/>
      <w:marTop w:val="0"/>
      <w:marBottom w:val="0"/>
      <w:divBdr>
        <w:top w:val="none" w:sz="0" w:space="0" w:color="auto"/>
        <w:left w:val="none" w:sz="0" w:space="0" w:color="auto"/>
        <w:bottom w:val="none" w:sz="0" w:space="0" w:color="auto"/>
        <w:right w:val="none" w:sz="0" w:space="0" w:color="auto"/>
      </w:divBdr>
    </w:div>
    <w:div w:id="1208688856">
      <w:bodyDiv w:val="1"/>
      <w:marLeft w:val="0"/>
      <w:marRight w:val="0"/>
      <w:marTop w:val="0"/>
      <w:marBottom w:val="0"/>
      <w:divBdr>
        <w:top w:val="none" w:sz="0" w:space="0" w:color="auto"/>
        <w:left w:val="none" w:sz="0" w:space="0" w:color="auto"/>
        <w:bottom w:val="none" w:sz="0" w:space="0" w:color="auto"/>
        <w:right w:val="none" w:sz="0" w:space="0" w:color="auto"/>
      </w:divBdr>
    </w:div>
    <w:div w:id="1250578913">
      <w:bodyDiv w:val="1"/>
      <w:marLeft w:val="0"/>
      <w:marRight w:val="0"/>
      <w:marTop w:val="0"/>
      <w:marBottom w:val="0"/>
      <w:divBdr>
        <w:top w:val="none" w:sz="0" w:space="0" w:color="auto"/>
        <w:left w:val="none" w:sz="0" w:space="0" w:color="auto"/>
        <w:bottom w:val="none" w:sz="0" w:space="0" w:color="auto"/>
        <w:right w:val="none" w:sz="0" w:space="0" w:color="auto"/>
      </w:divBdr>
    </w:div>
    <w:div w:id="1250845368">
      <w:bodyDiv w:val="1"/>
      <w:marLeft w:val="0"/>
      <w:marRight w:val="0"/>
      <w:marTop w:val="0"/>
      <w:marBottom w:val="0"/>
      <w:divBdr>
        <w:top w:val="none" w:sz="0" w:space="0" w:color="auto"/>
        <w:left w:val="none" w:sz="0" w:space="0" w:color="auto"/>
        <w:bottom w:val="none" w:sz="0" w:space="0" w:color="auto"/>
        <w:right w:val="none" w:sz="0" w:space="0" w:color="auto"/>
      </w:divBdr>
    </w:div>
    <w:div w:id="1256281084">
      <w:bodyDiv w:val="1"/>
      <w:marLeft w:val="0"/>
      <w:marRight w:val="0"/>
      <w:marTop w:val="0"/>
      <w:marBottom w:val="0"/>
      <w:divBdr>
        <w:top w:val="none" w:sz="0" w:space="0" w:color="auto"/>
        <w:left w:val="none" w:sz="0" w:space="0" w:color="auto"/>
        <w:bottom w:val="none" w:sz="0" w:space="0" w:color="auto"/>
        <w:right w:val="none" w:sz="0" w:space="0" w:color="auto"/>
      </w:divBdr>
    </w:div>
    <w:div w:id="1258248671">
      <w:bodyDiv w:val="1"/>
      <w:marLeft w:val="0"/>
      <w:marRight w:val="0"/>
      <w:marTop w:val="0"/>
      <w:marBottom w:val="0"/>
      <w:divBdr>
        <w:top w:val="none" w:sz="0" w:space="0" w:color="auto"/>
        <w:left w:val="none" w:sz="0" w:space="0" w:color="auto"/>
        <w:bottom w:val="none" w:sz="0" w:space="0" w:color="auto"/>
        <w:right w:val="none" w:sz="0" w:space="0" w:color="auto"/>
      </w:divBdr>
    </w:div>
    <w:div w:id="1260211626">
      <w:bodyDiv w:val="1"/>
      <w:marLeft w:val="0"/>
      <w:marRight w:val="0"/>
      <w:marTop w:val="0"/>
      <w:marBottom w:val="0"/>
      <w:divBdr>
        <w:top w:val="none" w:sz="0" w:space="0" w:color="auto"/>
        <w:left w:val="none" w:sz="0" w:space="0" w:color="auto"/>
        <w:bottom w:val="none" w:sz="0" w:space="0" w:color="auto"/>
        <w:right w:val="none" w:sz="0" w:space="0" w:color="auto"/>
      </w:divBdr>
    </w:div>
    <w:div w:id="1297252118">
      <w:bodyDiv w:val="1"/>
      <w:marLeft w:val="0"/>
      <w:marRight w:val="0"/>
      <w:marTop w:val="0"/>
      <w:marBottom w:val="0"/>
      <w:divBdr>
        <w:top w:val="none" w:sz="0" w:space="0" w:color="auto"/>
        <w:left w:val="none" w:sz="0" w:space="0" w:color="auto"/>
        <w:bottom w:val="none" w:sz="0" w:space="0" w:color="auto"/>
        <w:right w:val="none" w:sz="0" w:space="0" w:color="auto"/>
      </w:divBdr>
      <w:divsChild>
        <w:div w:id="1010643708">
          <w:marLeft w:val="0"/>
          <w:marRight w:val="0"/>
          <w:marTop w:val="0"/>
          <w:marBottom w:val="0"/>
          <w:divBdr>
            <w:top w:val="none" w:sz="0" w:space="0" w:color="auto"/>
            <w:left w:val="none" w:sz="0" w:space="0" w:color="auto"/>
            <w:bottom w:val="none" w:sz="0" w:space="0" w:color="auto"/>
            <w:right w:val="none" w:sz="0" w:space="0" w:color="auto"/>
          </w:divBdr>
        </w:div>
        <w:div w:id="225190506">
          <w:marLeft w:val="0"/>
          <w:marRight w:val="0"/>
          <w:marTop w:val="0"/>
          <w:marBottom w:val="0"/>
          <w:divBdr>
            <w:top w:val="none" w:sz="0" w:space="0" w:color="auto"/>
            <w:left w:val="none" w:sz="0" w:space="0" w:color="auto"/>
            <w:bottom w:val="none" w:sz="0" w:space="0" w:color="auto"/>
            <w:right w:val="none" w:sz="0" w:space="0" w:color="auto"/>
          </w:divBdr>
        </w:div>
      </w:divsChild>
    </w:div>
    <w:div w:id="1303660575">
      <w:bodyDiv w:val="1"/>
      <w:marLeft w:val="0"/>
      <w:marRight w:val="0"/>
      <w:marTop w:val="0"/>
      <w:marBottom w:val="0"/>
      <w:divBdr>
        <w:top w:val="none" w:sz="0" w:space="0" w:color="auto"/>
        <w:left w:val="none" w:sz="0" w:space="0" w:color="auto"/>
        <w:bottom w:val="none" w:sz="0" w:space="0" w:color="auto"/>
        <w:right w:val="none" w:sz="0" w:space="0" w:color="auto"/>
      </w:divBdr>
    </w:div>
    <w:div w:id="1370910834">
      <w:bodyDiv w:val="1"/>
      <w:marLeft w:val="0"/>
      <w:marRight w:val="0"/>
      <w:marTop w:val="0"/>
      <w:marBottom w:val="0"/>
      <w:divBdr>
        <w:top w:val="none" w:sz="0" w:space="0" w:color="auto"/>
        <w:left w:val="none" w:sz="0" w:space="0" w:color="auto"/>
        <w:bottom w:val="none" w:sz="0" w:space="0" w:color="auto"/>
        <w:right w:val="none" w:sz="0" w:space="0" w:color="auto"/>
      </w:divBdr>
    </w:div>
    <w:div w:id="1374041461">
      <w:bodyDiv w:val="1"/>
      <w:marLeft w:val="0"/>
      <w:marRight w:val="0"/>
      <w:marTop w:val="0"/>
      <w:marBottom w:val="0"/>
      <w:divBdr>
        <w:top w:val="none" w:sz="0" w:space="0" w:color="auto"/>
        <w:left w:val="none" w:sz="0" w:space="0" w:color="auto"/>
        <w:bottom w:val="none" w:sz="0" w:space="0" w:color="auto"/>
        <w:right w:val="none" w:sz="0" w:space="0" w:color="auto"/>
      </w:divBdr>
    </w:div>
    <w:div w:id="1388643527">
      <w:bodyDiv w:val="1"/>
      <w:marLeft w:val="0"/>
      <w:marRight w:val="0"/>
      <w:marTop w:val="0"/>
      <w:marBottom w:val="0"/>
      <w:divBdr>
        <w:top w:val="none" w:sz="0" w:space="0" w:color="auto"/>
        <w:left w:val="none" w:sz="0" w:space="0" w:color="auto"/>
        <w:bottom w:val="none" w:sz="0" w:space="0" w:color="auto"/>
        <w:right w:val="none" w:sz="0" w:space="0" w:color="auto"/>
      </w:divBdr>
    </w:div>
    <w:div w:id="1409645580">
      <w:bodyDiv w:val="1"/>
      <w:marLeft w:val="0"/>
      <w:marRight w:val="0"/>
      <w:marTop w:val="0"/>
      <w:marBottom w:val="0"/>
      <w:divBdr>
        <w:top w:val="none" w:sz="0" w:space="0" w:color="auto"/>
        <w:left w:val="none" w:sz="0" w:space="0" w:color="auto"/>
        <w:bottom w:val="none" w:sz="0" w:space="0" w:color="auto"/>
        <w:right w:val="none" w:sz="0" w:space="0" w:color="auto"/>
      </w:divBdr>
    </w:div>
    <w:div w:id="1411391053">
      <w:bodyDiv w:val="1"/>
      <w:marLeft w:val="0"/>
      <w:marRight w:val="0"/>
      <w:marTop w:val="0"/>
      <w:marBottom w:val="0"/>
      <w:divBdr>
        <w:top w:val="none" w:sz="0" w:space="0" w:color="auto"/>
        <w:left w:val="none" w:sz="0" w:space="0" w:color="auto"/>
        <w:bottom w:val="none" w:sz="0" w:space="0" w:color="auto"/>
        <w:right w:val="none" w:sz="0" w:space="0" w:color="auto"/>
      </w:divBdr>
    </w:div>
    <w:div w:id="1412048669">
      <w:bodyDiv w:val="1"/>
      <w:marLeft w:val="0"/>
      <w:marRight w:val="0"/>
      <w:marTop w:val="0"/>
      <w:marBottom w:val="0"/>
      <w:divBdr>
        <w:top w:val="none" w:sz="0" w:space="0" w:color="auto"/>
        <w:left w:val="none" w:sz="0" w:space="0" w:color="auto"/>
        <w:bottom w:val="none" w:sz="0" w:space="0" w:color="auto"/>
        <w:right w:val="none" w:sz="0" w:space="0" w:color="auto"/>
      </w:divBdr>
    </w:div>
    <w:div w:id="1413700202">
      <w:bodyDiv w:val="1"/>
      <w:marLeft w:val="0"/>
      <w:marRight w:val="0"/>
      <w:marTop w:val="0"/>
      <w:marBottom w:val="0"/>
      <w:divBdr>
        <w:top w:val="none" w:sz="0" w:space="0" w:color="auto"/>
        <w:left w:val="none" w:sz="0" w:space="0" w:color="auto"/>
        <w:bottom w:val="none" w:sz="0" w:space="0" w:color="auto"/>
        <w:right w:val="none" w:sz="0" w:space="0" w:color="auto"/>
      </w:divBdr>
      <w:divsChild>
        <w:div w:id="1909798912">
          <w:marLeft w:val="0"/>
          <w:marRight w:val="0"/>
          <w:marTop w:val="0"/>
          <w:marBottom w:val="0"/>
          <w:divBdr>
            <w:top w:val="none" w:sz="0" w:space="0" w:color="auto"/>
            <w:left w:val="none" w:sz="0" w:space="0" w:color="auto"/>
            <w:bottom w:val="none" w:sz="0" w:space="0" w:color="auto"/>
            <w:right w:val="none" w:sz="0" w:space="0" w:color="auto"/>
          </w:divBdr>
        </w:div>
        <w:div w:id="1638027008">
          <w:marLeft w:val="0"/>
          <w:marRight w:val="0"/>
          <w:marTop w:val="0"/>
          <w:marBottom w:val="0"/>
          <w:divBdr>
            <w:top w:val="none" w:sz="0" w:space="0" w:color="auto"/>
            <w:left w:val="none" w:sz="0" w:space="0" w:color="auto"/>
            <w:bottom w:val="none" w:sz="0" w:space="0" w:color="auto"/>
            <w:right w:val="none" w:sz="0" w:space="0" w:color="auto"/>
          </w:divBdr>
        </w:div>
      </w:divsChild>
    </w:div>
    <w:div w:id="1421559356">
      <w:bodyDiv w:val="1"/>
      <w:marLeft w:val="0"/>
      <w:marRight w:val="0"/>
      <w:marTop w:val="0"/>
      <w:marBottom w:val="0"/>
      <w:divBdr>
        <w:top w:val="none" w:sz="0" w:space="0" w:color="auto"/>
        <w:left w:val="none" w:sz="0" w:space="0" w:color="auto"/>
        <w:bottom w:val="none" w:sz="0" w:space="0" w:color="auto"/>
        <w:right w:val="none" w:sz="0" w:space="0" w:color="auto"/>
      </w:divBdr>
    </w:div>
    <w:div w:id="1436317428">
      <w:bodyDiv w:val="1"/>
      <w:marLeft w:val="0"/>
      <w:marRight w:val="0"/>
      <w:marTop w:val="0"/>
      <w:marBottom w:val="0"/>
      <w:divBdr>
        <w:top w:val="none" w:sz="0" w:space="0" w:color="auto"/>
        <w:left w:val="none" w:sz="0" w:space="0" w:color="auto"/>
        <w:bottom w:val="none" w:sz="0" w:space="0" w:color="auto"/>
        <w:right w:val="none" w:sz="0" w:space="0" w:color="auto"/>
      </w:divBdr>
    </w:div>
    <w:div w:id="1457021499">
      <w:bodyDiv w:val="1"/>
      <w:marLeft w:val="0"/>
      <w:marRight w:val="0"/>
      <w:marTop w:val="0"/>
      <w:marBottom w:val="0"/>
      <w:divBdr>
        <w:top w:val="none" w:sz="0" w:space="0" w:color="auto"/>
        <w:left w:val="none" w:sz="0" w:space="0" w:color="auto"/>
        <w:bottom w:val="none" w:sz="0" w:space="0" w:color="auto"/>
        <w:right w:val="none" w:sz="0" w:space="0" w:color="auto"/>
      </w:divBdr>
    </w:div>
    <w:div w:id="1473984800">
      <w:bodyDiv w:val="1"/>
      <w:marLeft w:val="0"/>
      <w:marRight w:val="0"/>
      <w:marTop w:val="0"/>
      <w:marBottom w:val="0"/>
      <w:divBdr>
        <w:top w:val="none" w:sz="0" w:space="0" w:color="auto"/>
        <w:left w:val="none" w:sz="0" w:space="0" w:color="auto"/>
        <w:bottom w:val="none" w:sz="0" w:space="0" w:color="auto"/>
        <w:right w:val="none" w:sz="0" w:space="0" w:color="auto"/>
      </w:divBdr>
    </w:div>
    <w:div w:id="1489055255">
      <w:bodyDiv w:val="1"/>
      <w:marLeft w:val="0"/>
      <w:marRight w:val="0"/>
      <w:marTop w:val="0"/>
      <w:marBottom w:val="0"/>
      <w:divBdr>
        <w:top w:val="none" w:sz="0" w:space="0" w:color="auto"/>
        <w:left w:val="none" w:sz="0" w:space="0" w:color="auto"/>
        <w:bottom w:val="none" w:sz="0" w:space="0" w:color="auto"/>
        <w:right w:val="none" w:sz="0" w:space="0" w:color="auto"/>
      </w:divBdr>
    </w:div>
    <w:div w:id="1522477901">
      <w:bodyDiv w:val="1"/>
      <w:marLeft w:val="0"/>
      <w:marRight w:val="0"/>
      <w:marTop w:val="0"/>
      <w:marBottom w:val="0"/>
      <w:divBdr>
        <w:top w:val="none" w:sz="0" w:space="0" w:color="auto"/>
        <w:left w:val="none" w:sz="0" w:space="0" w:color="auto"/>
        <w:bottom w:val="none" w:sz="0" w:space="0" w:color="auto"/>
        <w:right w:val="none" w:sz="0" w:space="0" w:color="auto"/>
      </w:divBdr>
    </w:div>
    <w:div w:id="1596478564">
      <w:bodyDiv w:val="1"/>
      <w:marLeft w:val="0"/>
      <w:marRight w:val="0"/>
      <w:marTop w:val="0"/>
      <w:marBottom w:val="0"/>
      <w:divBdr>
        <w:top w:val="none" w:sz="0" w:space="0" w:color="auto"/>
        <w:left w:val="none" w:sz="0" w:space="0" w:color="auto"/>
        <w:bottom w:val="none" w:sz="0" w:space="0" w:color="auto"/>
        <w:right w:val="none" w:sz="0" w:space="0" w:color="auto"/>
      </w:divBdr>
    </w:div>
    <w:div w:id="1689404028">
      <w:bodyDiv w:val="1"/>
      <w:marLeft w:val="0"/>
      <w:marRight w:val="0"/>
      <w:marTop w:val="0"/>
      <w:marBottom w:val="0"/>
      <w:divBdr>
        <w:top w:val="none" w:sz="0" w:space="0" w:color="auto"/>
        <w:left w:val="none" w:sz="0" w:space="0" w:color="auto"/>
        <w:bottom w:val="none" w:sz="0" w:space="0" w:color="auto"/>
        <w:right w:val="none" w:sz="0" w:space="0" w:color="auto"/>
      </w:divBdr>
    </w:div>
    <w:div w:id="1733000345">
      <w:bodyDiv w:val="1"/>
      <w:marLeft w:val="0"/>
      <w:marRight w:val="0"/>
      <w:marTop w:val="0"/>
      <w:marBottom w:val="0"/>
      <w:divBdr>
        <w:top w:val="none" w:sz="0" w:space="0" w:color="auto"/>
        <w:left w:val="none" w:sz="0" w:space="0" w:color="auto"/>
        <w:bottom w:val="none" w:sz="0" w:space="0" w:color="auto"/>
        <w:right w:val="none" w:sz="0" w:space="0" w:color="auto"/>
      </w:divBdr>
    </w:div>
    <w:div w:id="1750418027">
      <w:bodyDiv w:val="1"/>
      <w:marLeft w:val="0"/>
      <w:marRight w:val="0"/>
      <w:marTop w:val="0"/>
      <w:marBottom w:val="0"/>
      <w:divBdr>
        <w:top w:val="none" w:sz="0" w:space="0" w:color="auto"/>
        <w:left w:val="none" w:sz="0" w:space="0" w:color="auto"/>
        <w:bottom w:val="none" w:sz="0" w:space="0" w:color="auto"/>
        <w:right w:val="none" w:sz="0" w:space="0" w:color="auto"/>
      </w:divBdr>
    </w:div>
    <w:div w:id="1773352199">
      <w:bodyDiv w:val="1"/>
      <w:marLeft w:val="0"/>
      <w:marRight w:val="0"/>
      <w:marTop w:val="0"/>
      <w:marBottom w:val="0"/>
      <w:divBdr>
        <w:top w:val="none" w:sz="0" w:space="0" w:color="auto"/>
        <w:left w:val="none" w:sz="0" w:space="0" w:color="auto"/>
        <w:bottom w:val="none" w:sz="0" w:space="0" w:color="auto"/>
        <w:right w:val="none" w:sz="0" w:space="0" w:color="auto"/>
      </w:divBdr>
    </w:div>
    <w:div w:id="1776829521">
      <w:bodyDiv w:val="1"/>
      <w:marLeft w:val="0"/>
      <w:marRight w:val="0"/>
      <w:marTop w:val="0"/>
      <w:marBottom w:val="0"/>
      <w:divBdr>
        <w:top w:val="none" w:sz="0" w:space="0" w:color="auto"/>
        <w:left w:val="none" w:sz="0" w:space="0" w:color="auto"/>
        <w:bottom w:val="none" w:sz="0" w:space="0" w:color="auto"/>
        <w:right w:val="none" w:sz="0" w:space="0" w:color="auto"/>
      </w:divBdr>
    </w:div>
    <w:div w:id="1785807776">
      <w:bodyDiv w:val="1"/>
      <w:marLeft w:val="0"/>
      <w:marRight w:val="0"/>
      <w:marTop w:val="0"/>
      <w:marBottom w:val="0"/>
      <w:divBdr>
        <w:top w:val="none" w:sz="0" w:space="0" w:color="auto"/>
        <w:left w:val="none" w:sz="0" w:space="0" w:color="auto"/>
        <w:bottom w:val="none" w:sz="0" w:space="0" w:color="auto"/>
        <w:right w:val="none" w:sz="0" w:space="0" w:color="auto"/>
      </w:divBdr>
      <w:divsChild>
        <w:div w:id="824976233">
          <w:marLeft w:val="0"/>
          <w:marRight w:val="0"/>
          <w:marTop w:val="0"/>
          <w:marBottom w:val="75"/>
          <w:divBdr>
            <w:top w:val="none" w:sz="0" w:space="0" w:color="auto"/>
            <w:left w:val="none" w:sz="0" w:space="0" w:color="auto"/>
            <w:bottom w:val="none" w:sz="0" w:space="0" w:color="auto"/>
            <w:right w:val="none" w:sz="0" w:space="0" w:color="auto"/>
          </w:divBdr>
        </w:div>
        <w:div w:id="694426111">
          <w:marLeft w:val="0"/>
          <w:marRight w:val="0"/>
          <w:marTop w:val="0"/>
          <w:marBottom w:val="75"/>
          <w:divBdr>
            <w:top w:val="none" w:sz="0" w:space="0" w:color="auto"/>
            <w:left w:val="none" w:sz="0" w:space="0" w:color="auto"/>
            <w:bottom w:val="none" w:sz="0" w:space="0" w:color="auto"/>
            <w:right w:val="none" w:sz="0" w:space="0" w:color="auto"/>
          </w:divBdr>
        </w:div>
      </w:divsChild>
    </w:div>
    <w:div w:id="1860926128">
      <w:bodyDiv w:val="1"/>
      <w:marLeft w:val="0"/>
      <w:marRight w:val="0"/>
      <w:marTop w:val="0"/>
      <w:marBottom w:val="0"/>
      <w:divBdr>
        <w:top w:val="none" w:sz="0" w:space="0" w:color="auto"/>
        <w:left w:val="none" w:sz="0" w:space="0" w:color="auto"/>
        <w:bottom w:val="none" w:sz="0" w:space="0" w:color="auto"/>
        <w:right w:val="none" w:sz="0" w:space="0" w:color="auto"/>
      </w:divBdr>
    </w:div>
    <w:div w:id="1868640360">
      <w:bodyDiv w:val="1"/>
      <w:marLeft w:val="0"/>
      <w:marRight w:val="0"/>
      <w:marTop w:val="0"/>
      <w:marBottom w:val="0"/>
      <w:divBdr>
        <w:top w:val="none" w:sz="0" w:space="0" w:color="auto"/>
        <w:left w:val="none" w:sz="0" w:space="0" w:color="auto"/>
        <w:bottom w:val="none" w:sz="0" w:space="0" w:color="auto"/>
        <w:right w:val="none" w:sz="0" w:space="0" w:color="auto"/>
      </w:divBdr>
    </w:div>
    <w:div w:id="1869642476">
      <w:bodyDiv w:val="1"/>
      <w:marLeft w:val="0"/>
      <w:marRight w:val="0"/>
      <w:marTop w:val="0"/>
      <w:marBottom w:val="0"/>
      <w:divBdr>
        <w:top w:val="none" w:sz="0" w:space="0" w:color="auto"/>
        <w:left w:val="none" w:sz="0" w:space="0" w:color="auto"/>
        <w:bottom w:val="none" w:sz="0" w:space="0" w:color="auto"/>
        <w:right w:val="none" w:sz="0" w:space="0" w:color="auto"/>
      </w:divBdr>
    </w:div>
    <w:div w:id="1872912506">
      <w:bodyDiv w:val="1"/>
      <w:marLeft w:val="0"/>
      <w:marRight w:val="0"/>
      <w:marTop w:val="0"/>
      <w:marBottom w:val="0"/>
      <w:divBdr>
        <w:top w:val="none" w:sz="0" w:space="0" w:color="auto"/>
        <w:left w:val="none" w:sz="0" w:space="0" w:color="auto"/>
        <w:bottom w:val="none" w:sz="0" w:space="0" w:color="auto"/>
        <w:right w:val="none" w:sz="0" w:space="0" w:color="auto"/>
      </w:divBdr>
    </w:div>
    <w:div w:id="1883402834">
      <w:bodyDiv w:val="1"/>
      <w:marLeft w:val="0"/>
      <w:marRight w:val="0"/>
      <w:marTop w:val="0"/>
      <w:marBottom w:val="0"/>
      <w:divBdr>
        <w:top w:val="none" w:sz="0" w:space="0" w:color="auto"/>
        <w:left w:val="none" w:sz="0" w:space="0" w:color="auto"/>
        <w:bottom w:val="none" w:sz="0" w:space="0" w:color="auto"/>
        <w:right w:val="none" w:sz="0" w:space="0" w:color="auto"/>
      </w:divBdr>
    </w:div>
    <w:div w:id="1945963955">
      <w:bodyDiv w:val="1"/>
      <w:marLeft w:val="0"/>
      <w:marRight w:val="0"/>
      <w:marTop w:val="0"/>
      <w:marBottom w:val="0"/>
      <w:divBdr>
        <w:top w:val="none" w:sz="0" w:space="0" w:color="auto"/>
        <w:left w:val="none" w:sz="0" w:space="0" w:color="auto"/>
        <w:bottom w:val="none" w:sz="0" w:space="0" w:color="auto"/>
        <w:right w:val="none" w:sz="0" w:space="0" w:color="auto"/>
      </w:divBdr>
    </w:div>
    <w:div w:id="1992563079">
      <w:bodyDiv w:val="1"/>
      <w:marLeft w:val="0"/>
      <w:marRight w:val="0"/>
      <w:marTop w:val="0"/>
      <w:marBottom w:val="0"/>
      <w:divBdr>
        <w:top w:val="none" w:sz="0" w:space="0" w:color="auto"/>
        <w:left w:val="none" w:sz="0" w:space="0" w:color="auto"/>
        <w:bottom w:val="none" w:sz="0" w:space="0" w:color="auto"/>
        <w:right w:val="none" w:sz="0" w:space="0" w:color="auto"/>
      </w:divBdr>
    </w:div>
    <w:div w:id="1996371312">
      <w:bodyDiv w:val="1"/>
      <w:marLeft w:val="0"/>
      <w:marRight w:val="0"/>
      <w:marTop w:val="0"/>
      <w:marBottom w:val="0"/>
      <w:divBdr>
        <w:top w:val="none" w:sz="0" w:space="0" w:color="auto"/>
        <w:left w:val="none" w:sz="0" w:space="0" w:color="auto"/>
        <w:bottom w:val="none" w:sz="0" w:space="0" w:color="auto"/>
        <w:right w:val="none" w:sz="0" w:space="0" w:color="auto"/>
      </w:divBdr>
    </w:div>
    <w:div w:id="2015262577">
      <w:bodyDiv w:val="1"/>
      <w:marLeft w:val="0"/>
      <w:marRight w:val="0"/>
      <w:marTop w:val="0"/>
      <w:marBottom w:val="0"/>
      <w:divBdr>
        <w:top w:val="none" w:sz="0" w:space="0" w:color="auto"/>
        <w:left w:val="none" w:sz="0" w:space="0" w:color="auto"/>
        <w:bottom w:val="none" w:sz="0" w:space="0" w:color="auto"/>
        <w:right w:val="none" w:sz="0" w:space="0" w:color="auto"/>
      </w:divBdr>
    </w:div>
    <w:div w:id="2049522917">
      <w:bodyDiv w:val="1"/>
      <w:marLeft w:val="0"/>
      <w:marRight w:val="0"/>
      <w:marTop w:val="0"/>
      <w:marBottom w:val="0"/>
      <w:divBdr>
        <w:top w:val="none" w:sz="0" w:space="0" w:color="auto"/>
        <w:left w:val="none" w:sz="0" w:space="0" w:color="auto"/>
        <w:bottom w:val="none" w:sz="0" w:space="0" w:color="auto"/>
        <w:right w:val="none" w:sz="0" w:space="0" w:color="auto"/>
      </w:divBdr>
    </w:div>
    <w:div w:id="2069183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isd.org/sites/default/files/publications/sdplannet_lessons_from_the_past.pdf" TargetMode="External"/><Relationship Id="rId21" Type="http://schemas.openxmlformats.org/officeDocument/2006/relationships/hyperlink" Target="https://doi.org/10.1093/reep/res016" TargetMode="External"/><Relationship Id="rId42" Type="http://schemas.openxmlformats.org/officeDocument/2006/relationships/hyperlink" Target="https://www.umweltbundesamt.de/sites/default/files/medien/1410/publikationen/2017-09-27_texte_86-2017_narrative_0.pdf" TargetMode="External"/><Relationship Id="rId63" Type="http://schemas.openxmlformats.org/officeDocument/2006/relationships/hyperlink" Target="http://www.iea.org/publications/freepublications/publication/Summing_Up.pdf" TargetMode="External"/><Relationship Id="rId84" Type="http://schemas.openxmlformats.org/officeDocument/2006/relationships/hyperlink" Target="https://doi.org/10.1162/002081801317193592" TargetMode="External"/><Relationship Id="rId138" Type="http://schemas.openxmlformats.org/officeDocument/2006/relationships/hyperlink" Target="https://global.oup.com/academic/product/governing-high-seas-fisheries-9780198299493?cc=ke&amp;lang=en&amp;" TargetMode="External"/><Relationship Id="rId159" Type="http://schemas.openxmlformats.org/officeDocument/2006/relationships/hyperlink" Target="https://doi.org/10.5751/ES-01519-110127" TargetMode="External"/><Relationship Id="rId107" Type="http://schemas.openxmlformats.org/officeDocument/2006/relationships/hyperlink" Target="https://doi.org/10.1007/s10784-014-9243-8" TargetMode="External"/><Relationship Id="rId11" Type="http://schemas.openxmlformats.org/officeDocument/2006/relationships/image" Target="media/image2.png"/><Relationship Id="rId32" Type="http://schemas.openxmlformats.org/officeDocument/2006/relationships/hyperlink" Target="https://doi.org/10.1017/S0020818300027910" TargetMode="External"/><Relationship Id="rId53" Type="http://schemas.openxmlformats.org/officeDocument/2006/relationships/hyperlink" Target="https://doi.org/10.1017/s0007123412000415" TargetMode="External"/><Relationship Id="rId74" Type="http://schemas.openxmlformats.org/officeDocument/2006/relationships/hyperlink" Target="https://www.oecd.org/gov/regulatory-policy/Integrating%20RIA%20in%20Decision%20Making.pdf" TargetMode="External"/><Relationship Id="rId128" Type="http://schemas.openxmlformats.org/officeDocument/2006/relationships/hyperlink" Target="http://www.diva-portal.se/smash/get/diva2:945065/FULLTEXT01.pdf" TargetMode="External"/><Relationship Id="rId149" Type="http://schemas.openxmlformats.org/officeDocument/2006/relationships/hyperlink" Target="https://www.ecn.nl/publicaties/PdfFetch.aspx?nr=ECN-O--16-009" TargetMode="External"/><Relationship Id="rId5" Type="http://schemas.openxmlformats.org/officeDocument/2006/relationships/webSettings" Target="webSettings.xml"/><Relationship Id="rId95" Type="http://schemas.openxmlformats.org/officeDocument/2006/relationships/hyperlink" Target="https://doi.org/10.1016/j.envsci.2015.11.005" TargetMode="External"/><Relationship Id="rId160" Type="http://schemas.openxmlformats.org/officeDocument/2006/relationships/hyperlink" Target="http://mitpress.universitypressscholarship.com/view/10.7551/mitpress/9780262240574.001.0001/upso-9780262240574-chapter-4" TargetMode="External"/><Relationship Id="rId22" Type="http://schemas.openxmlformats.org/officeDocument/2006/relationships/hyperlink" Target="https://www.cambridge.org/core/books/governance-entrepreneurs/70BCBC8857B11FB1593A6767993AC62B" TargetMode="External"/><Relationship Id="rId43" Type="http://schemas.openxmlformats.org/officeDocument/2006/relationships/hyperlink" Target="https://eur-lex.europa.eu/legal-content/EN/TXT/PDF/?uri=CELEX:52010DC0543&amp;from=EN" TargetMode="External"/><Relationship Id="rId64" Type="http://schemas.openxmlformats.org/officeDocument/2006/relationships/hyperlink" Target="https://doi.org/10.1162/152638003322469286" TargetMode="External"/><Relationship Id="rId118" Type="http://schemas.openxmlformats.org/officeDocument/2006/relationships/hyperlink" Target="https://doi.org/10.1073/pnas.0702288104" TargetMode="External"/><Relationship Id="rId139" Type="http://schemas.openxmlformats.org/officeDocument/2006/relationships/hyperlink" Target="https://doi.org/10.1016/j.jpolmod.2007.03.001" TargetMode="External"/><Relationship Id="rId85" Type="http://schemas.openxmlformats.org/officeDocument/2006/relationships/hyperlink" Target="https://doi.org/10.5204/qutlr.v6i1.191" TargetMode="External"/><Relationship Id="rId150" Type="http://schemas.openxmlformats.org/officeDocument/2006/relationships/hyperlink" Target="https://doi.org/10.1017/s1744137412000148" TargetMode="External"/><Relationship Id="rId12" Type="http://schemas.openxmlformats.org/officeDocument/2006/relationships/image" Target="media/image3.png"/><Relationship Id="rId17" Type="http://schemas.openxmlformats.org/officeDocument/2006/relationships/hyperlink" Target="https://doi.org/10.1080/09540962.2016.1118930" TargetMode="External"/><Relationship Id="rId33" Type="http://schemas.openxmlformats.org/officeDocument/2006/relationships/hyperlink" Target="https://doi.org/10.1007/s11558-011-9130-9" TargetMode="External"/><Relationship Id="rId38" Type="http://schemas.openxmlformats.org/officeDocument/2006/relationships/hyperlink" Target="https://eur-lex.europa.eu/legal-content/EN/TXT/PDF/?uri=CELEX:32001L0042&amp;from=EN" TargetMode="External"/><Relationship Id="rId59" Type="http://schemas.openxmlformats.org/officeDocument/2006/relationships/hyperlink" Target="https://doi.org/10.1016/j.jclepro.2006.11.001" TargetMode="External"/><Relationship Id="rId103" Type="http://schemas.openxmlformats.org/officeDocument/2006/relationships/hyperlink" Target="https://doi.org/10.1080/14615517.2012.661557" TargetMode="External"/><Relationship Id="rId108" Type="http://schemas.openxmlformats.org/officeDocument/2006/relationships/hyperlink" Target="https://doi.org/10.1111/j.1541-0072.2012.00445.x" TargetMode="External"/><Relationship Id="rId124" Type="http://schemas.openxmlformats.org/officeDocument/2006/relationships/hyperlink" Target="https://doi.org/10.1257/jep.9.4.97" TargetMode="External"/><Relationship Id="rId129" Type="http://schemas.openxmlformats.org/officeDocument/2006/relationships/hyperlink" Target="https://doi.org/10.1002/eet.1647" TargetMode="External"/><Relationship Id="rId54" Type="http://schemas.openxmlformats.org/officeDocument/2006/relationships/hyperlink" Target="https://doi.org/10.1093/reep/req017" TargetMode="External"/><Relationship Id="rId70" Type="http://schemas.openxmlformats.org/officeDocument/2006/relationships/hyperlink" Target="http://citeseerx.ist.psu.edu/viewdoc/download?doi=10.1.1.664.6369&amp;rep=rep1&amp;type=pdf" TargetMode="External"/><Relationship Id="rId75" Type="http://schemas.openxmlformats.org/officeDocument/2006/relationships/hyperlink" Target="http://www.polsoz.fu-berlin.de/polwiss/forschung/systeme/ffu/aktuelle-publikationen/martin_jaenicke__2007_d/index.html" TargetMode="External"/><Relationship Id="rId91" Type="http://schemas.openxmlformats.org/officeDocument/2006/relationships/hyperlink" Target="https://doi.org/10.1080/13501760902983283" TargetMode="External"/><Relationship Id="rId96" Type="http://schemas.openxmlformats.org/officeDocument/2006/relationships/hyperlink" Target="https://doi.org/10.5751/ES-06639-190258" TargetMode="External"/><Relationship Id="rId140" Type="http://schemas.openxmlformats.org/officeDocument/2006/relationships/hyperlink" Target="https://doi.org/10.1111/1475-6765.00096" TargetMode="External"/><Relationship Id="rId145" Type="http://schemas.openxmlformats.org/officeDocument/2006/relationships/hyperlink" Target="http://repository.uneca.org/bitstream/handle/10855/5607/bib.%2041846_I.pdf?sequence=1" TargetMode="External"/><Relationship Id="rId161" Type="http://schemas.openxmlformats.org/officeDocument/2006/relationships/hyperlink" Target="https://doi.org/10.1073/pnas.111169010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016/j.envsci.2009.04.003" TargetMode="External"/><Relationship Id="rId28" Type="http://schemas.openxmlformats.org/officeDocument/2006/relationships/hyperlink" Target="https://doi.org/10.1111/j.1468-2486.2011.01045.x" TargetMode="External"/><Relationship Id="rId49" Type="http://schemas.openxmlformats.org/officeDocument/2006/relationships/hyperlink" Target="https://doi.org/10.1016/j.jclepro.2013.12.062" TargetMode="External"/><Relationship Id="rId114" Type="http://schemas.openxmlformats.org/officeDocument/2006/relationships/hyperlink" Target="https://sustainabledevelopment.un.org/content/documents/commitments/493_12066_commitment_Better%20Policies%20for%20Sustainable%20Development%202016.pdf" TargetMode="External"/><Relationship Id="rId119" Type="http://schemas.openxmlformats.org/officeDocument/2006/relationships/hyperlink" Target="https://doi.org/10.1126/science.1172133" TargetMode="External"/><Relationship Id="rId44" Type="http://schemas.openxmlformats.org/officeDocument/2006/relationships/hyperlink" Target="https://www.eea.europa.eu/publications/rem/issue25.pdf" TargetMode="External"/><Relationship Id="rId60" Type="http://schemas.openxmlformats.org/officeDocument/2006/relationships/hyperlink" Target="https://doi.org/10.1080/09644016.2014.924205" TargetMode="External"/><Relationship Id="rId65" Type="http://schemas.openxmlformats.org/officeDocument/2006/relationships/hyperlink" Target="https://doi.org/10.1016/j.gloenvcha.2013.12.009" TargetMode="External"/><Relationship Id="rId81" Type="http://schemas.openxmlformats.org/officeDocument/2006/relationships/hyperlink" Target="https://doi.org/10.1016/j.erss.2016.11.002" TargetMode="External"/><Relationship Id="rId86" Type="http://schemas.openxmlformats.org/officeDocument/2006/relationships/hyperlink" Target="https://www.e-elgar.com/shop/governance-for-sustainable-development" TargetMode="External"/><Relationship Id="rId130" Type="http://schemas.openxmlformats.org/officeDocument/2006/relationships/hyperlink" Target="https://doi.org/10.1111/psj.12095" TargetMode="External"/><Relationship Id="rId135" Type="http://schemas.openxmlformats.org/officeDocument/2006/relationships/hyperlink" Target="https://doi.org/10.1146/annurev.polisci.12.040907.132713" TargetMode="External"/><Relationship Id="rId151" Type="http://schemas.openxmlformats.org/officeDocument/2006/relationships/hyperlink" Target="https://doi.org/10.1017/s0003055405051919" TargetMode="External"/><Relationship Id="rId156" Type="http://schemas.openxmlformats.org/officeDocument/2006/relationships/hyperlink" Target="https://mitpress.mit.edu/books/effectiveness-international-environmental-regimes" TargetMode="External"/><Relationship Id="rId13" Type="http://schemas.openxmlformats.org/officeDocument/2006/relationships/hyperlink" Target="https://doi.org/10.1007/s11558-010-9092-3" TargetMode="External"/><Relationship Id="rId18" Type="http://schemas.openxmlformats.org/officeDocument/2006/relationships/hyperlink" Target="https://doi.org/10.5751/ES-01465-100209" TargetMode="External"/><Relationship Id="rId39" Type="http://schemas.openxmlformats.org/officeDocument/2006/relationships/hyperlink" Target="https://doi.org/10.1017/S0020818300033427" TargetMode="External"/><Relationship Id="rId109" Type="http://schemas.openxmlformats.org/officeDocument/2006/relationships/hyperlink" Target="https://doi.org/10.1016/j.envsci.2017.09.003" TargetMode="External"/><Relationship Id="rId34" Type="http://schemas.openxmlformats.org/officeDocument/2006/relationships/hyperlink" Target="https://doi.org/10.1017/s0020818305050125" TargetMode="External"/><Relationship Id="rId50" Type="http://schemas.openxmlformats.org/officeDocument/2006/relationships/hyperlink" Target="https://doi.org/10.1177/1354066108100055" TargetMode="External"/><Relationship Id="rId55" Type="http://schemas.openxmlformats.org/officeDocument/2006/relationships/hyperlink" Target="https://doi.org/10.1007/s11558-010-9096-z" TargetMode="External"/><Relationship Id="rId76" Type="http://schemas.openxmlformats.org/officeDocument/2006/relationships/hyperlink" Target="https://doi.org/10.1080/09644016.2014.923614" TargetMode="External"/><Relationship Id="rId97" Type="http://schemas.openxmlformats.org/officeDocument/2006/relationships/hyperlink" Target="http://www.peer.eu/publications/climate-policy-integration-coherence-and-governance/" TargetMode="External"/><Relationship Id="rId104" Type="http://schemas.openxmlformats.org/officeDocument/2006/relationships/hyperlink" Target="https://doi.org/10.2139/ssrn.3008543" TargetMode="External"/><Relationship Id="rId120" Type="http://schemas.openxmlformats.org/officeDocument/2006/relationships/hyperlink" Target="https://doi.org/10.1016/J.GLOENVCHA.2010.07.004" TargetMode="External"/><Relationship Id="rId125" Type="http://schemas.openxmlformats.org/officeDocument/2006/relationships/hyperlink" Target="https://doi.org/10.1080/13501760903332647" TargetMode="External"/><Relationship Id="rId141" Type="http://schemas.openxmlformats.org/officeDocument/2006/relationships/hyperlink" Target="https://doi.org/10.1080/13501760902872783" TargetMode="External"/><Relationship Id="rId146" Type="http://schemas.openxmlformats.org/officeDocument/2006/relationships/hyperlink" Target="https://sustainabledevelopment.un.org/content/documents/17109Synthesis_Report_VNRs_2017.pdf" TargetMode="External"/><Relationship Id="rId7" Type="http://schemas.openxmlformats.org/officeDocument/2006/relationships/endnotes" Target="endnotes.xml"/><Relationship Id="rId71" Type="http://schemas.openxmlformats.org/officeDocument/2006/relationships/hyperlink" Target="https://doi.org/10.1016/j.envdev.2012.05.002" TargetMode="External"/><Relationship Id="rId92" Type="http://schemas.openxmlformats.org/officeDocument/2006/relationships/hyperlink" Target="https://doi.org/10.1016/j.eneco.2010.07.005" TargetMode="External"/><Relationship Id="rId162" Type="http://schemas.openxmlformats.org/officeDocument/2006/relationships/hyperlink" Target="https://mitpress.mit.edu/books/governing-complex-systems" TargetMode="External"/><Relationship Id="rId2" Type="http://schemas.openxmlformats.org/officeDocument/2006/relationships/numbering" Target="numbering.xml"/><Relationship Id="rId29" Type="http://schemas.openxmlformats.org/officeDocument/2006/relationships/hyperlink" Target="https://www.mohr.de/buch/rechtsstaat-und-umweltstaat-9783161475788" TargetMode="External"/><Relationship Id="rId24" Type="http://schemas.openxmlformats.org/officeDocument/2006/relationships/hyperlink" Target="http://press.uchicago.edu/ucp/books/book/chicago/A/bo6763995.html" TargetMode="External"/><Relationship Id="rId40" Type="http://schemas.openxmlformats.org/officeDocument/2006/relationships/hyperlink" Target="https://doi.org/10.1017/S0143814X0700061X" TargetMode="External"/><Relationship Id="rId45" Type="http://schemas.openxmlformats.org/officeDocument/2006/relationships/hyperlink" Target="https://publications.europa.eu/en/publication-detail/-/publication/7c46337b-cfd7-4a13-8c83-082bcd5f2d13" TargetMode="External"/><Relationship Id="rId66" Type="http://schemas.openxmlformats.org/officeDocument/2006/relationships/hyperlink" Target="https://doi.org/10.1080/13876980802648144" TargetMode="External"/><Relationship Id="rId87" Type="http://schemas.openxmlformats.org/officeDocument/2006/relationships/hyperlink" Target="http://www.g20-insights.org/wp-content/uploads/2017/03/TF_2030_Agenda_PolicyCoherence.pdf" TargetMode="External"/><Relationship Id="rId110" Type="http://schemas.openxmlformats.org/officeDocument/2006/relationships/hyperlink" Target="https://doi.org/10.1002/eet.1589" TargetMode="External"/><Relationship Id="rId115" Type="http://schemas.openxmlformats.org/officeDocument/2006/relationships/hyperlink" Target="https://www.oecd-ilibrary.org/policy-coherence-for-sustainable-development-2017_5jg03xm8f9lw.pdf?itemId=%2Fcontent%2Fpublication%2F9789264272576-en&amp;mimeType=pdf" TargetMode="External"/><Relationship Id="rId131" Type="http://schemas.openxmlformats.org/officeDocument/2006/relationships/hyperlink" Target="https://doi.org/10.1016/j.respol.2016.07.001" TargetMode="External"/><Relationship Id="rId136" Type="http://schemas.openxmlformats.org/officeDocument/2006/relationships/hyperlink" Target="https://doi.org/10.1017/S0020818300000825" TargetMode="External"/><Relationship Id="rId157" Type="http://schemas.openxmlformats.org/officeDocument/2006/relationships/hyperlink" Target="https://mitpress.mit.edu/books/institutional-dimensions-environmental-change" TargetMode="External"/><Relationship Id="rId61" Type="http://schemas.openxmlformats.org/officeDocument/2006/relationships/hyperlink" Target="https://link.springer.com/chapter/10.1007/978-3-319-24520-1_13" TargetMode="External"/><Relationship Id="rId82" Type="http://schemas.openxmlformats.org/officeDocument/2006/relationships/hyperlink" Target="https://link.springer.com/chapter/10.1007/978-3-642-95596-9_6" TargetMode="External"/><Relationship Id="rId152" Type="http://schemas.openxmlformats.org/officeDocument/2006/relationships/hyperlink" Target="https://doi.org/10.1080/09640568.2013.808609" TargetMode="External"/><Relationship Id="rId19" Type="http://schemas.openxmlformats.org/officeDocument/2006/relationships/hyperlink" Target="https://digitalcommons.odu.edu/cgi/viewcontent.cgi?article=1015&amp;context=gpis_etds" TargetMode="External"/><Relationship Id="rId14" Type="http://schemas.openxmlformats.org/officeDocument/2006/relationships/hyperlink" Target="https://refubium.fu-berlin.de/bitstream/handle/fub188/18658/LIAISE_innovation_report_n02.pdf?sequence=1&amp;isAllowed=y" TargetMode="External"/><Relationship Id="rId30" Type="http://schemas.openxmlformats.org/officeDocument/2006/relationships/hyperlink" Target="https://doi.org/10.1080/13876980802648227" TargetMode="External"/><Relationship Id="rId35" Type="http://schemas.openxmlformats.org/officeDocument/2006/relationships/hyperlink" Target="https://doi.org/10.1080/1350176032000085388" TargetMode="External"/><Relationship Id="rId56" Type="http://schemas.openxmlformats.org/officeDocument/2006/relationships/hyperlink" Target="https://mitpress.mit.edu/books/institutions-earth" TargetMode="External"/><Relationship Id="rId77" Type="http://schemas.openxmlformats.org/officeDocument/2006/relationships/hyperlink" Target="https://doi.org/10.1016/j.gloenvcha.2014.09.005" TargetMode="External"/><Relationship Id="rId100" Type="http://schemas.openxmlformats.org/officeDocument/2006/relationships/hyperlink" Target="https://link.springer.com/chapter/10.1007/978-3-322-80936-0_5" TargetMode="External"/><Relationship Id="rId105" Type="http://schemas.openxmlformats.org/officeDocument/2006/relationships/hyperlink" Target="http://files.nesc.ie/nesc_research_series/Research_Series_Paper_7_UCC.pdf" TargetMode="External"/><Relationship Id="rId126" Type="http://schemas.openxmlformats.org/officeDocument/2006/relationships/hyperlink" Target="https://www.ceps.eu/system/files/Better%20regulation%20and%20sustainable%20development_CEPS%20Policy%20Insights_%20A_Renda.pdf" TargetMode="External"/><Relationship Id="rId147" Type="http://schemas.openxmlformats.org/officeDocument/2006/relationships/hyperlink" Target="https://sustainabledevelopment.un.org/content/documents/126GER_synthesis_en.pdf" TargetMode="External"/><Relationship Id="rId8" Type="http://schemas.openxmlformats.org/officeDocument/2006/relationships/header" Target="header1.xml"/><Relationship Id="rId51" Type="http://schemas.openxmlformats.org/officeDocument/2006/relationships/hyperlink" Target="https://wildlifedirect.org/wp-content/uploads/2017/03/WildlifeDirect-Courtroom-Monitoring-Report1.pdf" TargetMode="External"/><Relationship Id="rId72" Type="http://schemas.openxmlformats.org/officeDocument/2006/relationships/hyperlink" Target="http://www.greengrowthknowledge.org/sites/default/files/downloads/resource/Jacob,%20Quitzow,%20B%C3%A4r%202014%20Green%20Jobs_ENGLISH.pdf" TargetMode="External"/><Relationship Id="rId93" Type="http://schemas.openxmlformats.org/officeDocument/2006/relationships/hyperlink" Target="https://doi.org/10.1111/gove.12048" TargetMode="External"/><Relationship Id="rId98" Type="http://schemas.openxmlformats.org/officeDocument/2006/relationships/hyperlink" Target="https://mitpress.mit.edu/books/environmental-regime-effectiveness" TargetMode="External"/><Relationship Id="rId121" Type="http://schemas.openxmlformats.org/officeDocument/2006/relationships/hyperlink" Target="http://www.worldwatch.org/system/files/185%20Green%20China.pdf" TargetMode="External"/><Relationship Id="rId142" Type="http://schemas.openxmlformats.org/officeDocument/2006/relationships/hyperlink" Target="https://doi.org/10.1111/j.1475-6765.1983.tb00055.x"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doi.org/10.1017/s0020818300028423" TargetMode="External"/><Relationship Id="rId46" Type="http://schemas.openxmlformats.org/officeDocument/2006/relationships/hyperlink" Target="https://www.eea.europa.eu/publications/resourceefficient-green-economy-and-eu/at_download/file" TargetMode="External"/><Relationship Id="rId67" Type="http://schemas.openxmlformats.org/officeDocument/2006/relationships/hyperlink" Target="https://doi.org/10.1177/0263774x15610059" TargetMode="External"/><Relationship Id="rId116" Type="http://schemas.openxmlformats.org/officeDocument/2006/relationships/hyperlink" Target="https://www.oecd-ilibrary.org/environment/aligning-policies-for-a-low-carbon-economy_9789264233294-en" TargetMode="External"/><Relationship Id="rId137" Type="http://schemas.openxmlformats.org/officeDocument/2006/relationships/hyperlink" Target="https://doi.org/10.1016/j.gloenvcha.2014.04.011" TargetMode="External"/><Relationship Id="rId158" Type="http://schemas.openxmlformats.org/officeDocument/2006/relationships/hyperlink" Target="https://doi.org/10.1162/152638003322469295" TargetMode="External"/><Relationship Id="rId20" Type="http://schemas.openxmlformats.org/officeDocument/2006/relationships/hyperlink" Target="https://doi.org/10.1016/s0165-1765(02)00005-8" TargetMode="External"/><Relationship Id="rId41" Type="http://schemas.openxmlformats.org/officeDocument/2006/relationships/hyperlink" Target="https://mitpress.mit.edu/books/green-state" TargetMode="External"/><Relationship Id="rId62" Type="http://schemas.openxmlformats.org/officeDocument/2006/relationships/hyperlink" Target="https://doi.org/10.1080/09644016.2011.538163" TargetMode="External"/><Relationship Id="rId83" Type="http://schemas.openxmlformats.org/officeDocument/2006/relationships/hyperlink" Target="https://doi.org/10.1111/j.1748-5991.2012.01150.x" TargetMode="External"/><Relationship Id="rId88" Type="http://schemas.openxmlformats.org/officeDocument/2006/relationships/hyperlink" Target="https://www.taylorfrancis.com/books/e/9781351932547" TargetMode="External"/><Relationship Id="rId111" Type="http://schemas.openxmlformats.org/officeDocument/2006/relationships/hyperlink" Target="https://doi.org/10.1007/s10784-009-9109-7" TargetMode="External"/><Relationship Id="rId132" Type="http://schemas.openxmlformats.org/officeDocument/2006/relationships/hyperlink" Target="https://doi.org/10.1016/j.respol.2018.03.012" TargetMode="External"/><Relationship Id="rId153" Type="http://schemas.openxmlformats.org/officeDocument/2006/relationships/hyperlink" Target="https://mpra.ub.uni-muenchen.de/44411/1/MPRA_paper_44411.pdf" TargetMode="External"/><Relationship Id="rId15" Type="http://schemas.openxmlformats.org/officeDocument/2006/relationships/hyperlink" Target="https://doi.org/10.1080/09540962.2015.1027500" TargetMode="External"/><Relationship Id="rId36" Type="http://schemas.openxmlformats.org/officeDocument/2006/relationships/hyperlink" Target="https://doi.org/10.1177/0010414011434297" TargetMode="External"/><Relationship Id="rId57" Type="http://schemas.openxmlformats.org/officeDocument/2006/relationships/hyperlink" Target="https://www.cambridge.org/core/books/environmental-policy-convergence-in-europe/research-design-variables-and-data/F6DB3BADF226FC81481C102CD4CEA471" TargetMode="External"/><Relationship Id="rId106" Type="http://schemas.openxmlformats.org/officeDocument/2006/relationships/hyperlink" Target="http://www.lse.ac.uk/GranthamInstitute/wp-content/uploads/2017/04/Global-trends-in-climate-change-legislation-and-litigation-WEB.pdf" TargetMode="External"/><Relationship Id="rId127" Type="http://schemas.openxmlformats.org/officeDocument/2006/relationships/hyperlink" Target="https://yalebooks.yale.edu/book/9780300110760/punctuated-equilibrium-and-dynamics-us-environmental-policy" TargetMode="External"/><Relationship Id="rId10" Type="http://schemas.openxmlformats.org/officeDocument/2006/relationships/image" Target="media/image1.png"/><Relationship Id="rId31" Type="http://schemas.openxmlformats.org/officeDocument/2006/relationships/hyperlink" Target="https://doi.org/10.1162/1526380054127736" TargetMode="External"/><Relationship Id="rId52" Type="http://schemas.openxmlformats.org/officeDocument/2006/relationships/hyperlink" Target="https://www.climatefinance-developmenteffectiveness.org/sites/default/files/documents/05_02_15/Nepal_CPEIR_Report_2011.pdf" TargetMode="External"/><Relationship Id="rId73" Type="http://schemas.openxmlformats.org/officeDocument/2006/relationships/hyperlink" Target="https://www.elgaronline.com/view/9781847204905.00013.xml" TargetMode="External"/><Relationship Id="rId78" Type="http://schemas.openxmlformats.org/officeDocument/2006/relationships/hyperlink" Target="https://doi.org/10.1002/eet.539" TargetMode="External"/><Relationship Id="rId94" Type="http://schemas.openxmlformats.org/officeDocument/2006/relationships/hyperlink" Target="https://doi.org/10.1080/09644016.2014.923639" TargetMode="External"/><Relationship Id="rId99" Type="http://schemas.openxmlformats.org/officeDocument/2006/relationships/hyperlink" Target="https://doi.org/10.1177/0022002716662687" TargetMode="External"/><Relationship Id="rId101" Type="http://schemas.openxmlformats.org/officeDocument/2006/relationships/hyperlink" Target="http://uk.sagepub.com/en-gb/eur/international-politics-and-the-environment/book228800" TargetMode="External"/><Relationship Id="rId122" Type="http://schemas.openxmlformats.org/officeDocument/2006/relationships/hyperlink" Target="https://www.taylorfrancis.com/books/e/9781136548185/chapters/10.4324%2F9781849773843-10" TargetMode="External"/><Relationship Id="rId143" Type="http://schemas.openxmlformats.org/officeDocument/2006/relationships/hyperlink" Target="https://assets.publishing.service.gov.uk/government/uploads/system/uploads/attachment_data/file/245334/1_20090715105804_e____carbonvaluationinukpolicyappraisal.pdf" TargetMode="External"/><Relationship Id="rId148" Type="http://schemas.openxmlformats.org/officeDocument/2006/relationships/hyperlink" Target="http://www.un.org/ga/search/view_doc.asp?symbol=A/RES/70/1&amp;Lang=E"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doi.org/10.1007/s11558-013-9165-1" TargetMode="External"/><Relationship Id="rId47" Type="http://schemas.openxmlformats.org/officeDocument/2006/relationships/hyperlink" Target="https://doi.org/10.1111/1468-2346.12708" TargetMode="External"/><Relationship Id="rId68" Type="http://schemas.openxmlformats.org/officeDocument/2006/relationships/hyperlink" Target="https://doi.org/10.1177/0095399712459725" TargetMode="External"/><Relationship Id="rId89" Type="http://schemas.openxmlformats.org/officeDocument/2006/relationships/hyperlink" Target="https://doi.org/10.1080/02688867.1992.9726853" TargetMode="External"/><Relationship Id="rId112" Type="http://schemas.openxmlformats.org/officeDocument/2006/relationships/hyperlink" Target="https://mitpress.mit.edu/books/managing-institutional-complexity" TargetMode="External"/><Relationship Id="rId133" Type="http://schemas.openxmlformats.org/officeDocument/2006/relationships/hyperlink" Target="https://doi.org/10.1016/j.enpol.2009.12.010" TargetMode="External"/><Relationship Id="rId154" Type="http://schemas.openxmlformats.org/officeDocument/2006/relationships/hyperlink" Target="https://doi.org/10.1016/J.ENVSCI.2011.09.002" TargetMode="External"/><Relationship Id="rId16" Type="http://schemas.openxmlformats.org/officeDocument/2006/relationships/hyperlink" Target="https://doi.org/10.1080/14615517.2012.663256" TargetMode="External"/><Relationship Id="rId37" Type="http://schemas.openxmlformats.org/officeDocument/2006/relationships/hyperlink" Target="https://doi.org/10.1016/j.envsci.2016.11.004" TargetMode="External"/><Relationship Id="rId58" Type="http://schemas.openxmlformats.org/officeDocument/2006/relationships/hyperlink" Target="https://doi.org/10.1016/j.forpol.2009.01.004" TargetMode="External"/><Relationship Id="rId79" Type="http://schemas.openxmlformats.org/officeDocument/2006/relationships/hyperlink" Target="https://doi.org/10.1007/s11077-014-9201-x" TargetMode="External"/><Relationship Id="rId102" Type="http://schemas.openxmlformats.org/officeDocument/2006/relationships/hyperlink" Target="https://doi.org/10.1162/002081801317193637" TargetMode="External"/><Relationship Id="rId123" Type="http://schemas.openxmlformats.org/officeDocument/2006/relationships/hyperlink" Target="https://doi.org/10.2307/2586011" TargetMode="External"/><Relationship Id="rId144" Type="http://schemas.openxmlformats.org/officeDocument/2006/relationships/hyperlink" Target="http://webarchive.nationalarchives.gov.uk/20110120023243/http://www.bis.gov.uk/assets/biscore/better-regulation/docs/10-901-impact-assessment-toolkit.pdf" TargetMode="External"/><Relationship Id="rId90" Type="http://schemas.openxmlformats.org/officeDocument/2006/relationships/hyperlink" Target="https://doi.org/10.1017/S1355770x12000460" TargetMode="External"/><Relationship Id="rId27" Type="http://schemas.openxmlformats.org/officeDocument/2006/relationships/hyperlink" Target="https://doi.org/10.1016/j.gloenvcha.2014.04.001" TargetMode="External"/><Relationship Id="rId48" Type="http://schemas.openxmlformats.org/officeDocument/2006/relationships/hyperlink" Target="https://doi.org/10.1016/j.respol.2011.02.005" TargetMode="External"/><Relationship Id="rId69" Type="http://schemas.openxmlformats.org/officeDocument/2006/relationships/hyperlink" Target="https://doi.org/10.17645/pag.v1i2.95" TargetMode="External"/><Relationship Id="rId113" Type="http://schemas.openxmlformats.org/officeDocument/2006/relationships/hyperlink" Target="https://www.oecd.org/gov/regulatory-policy/44789472.pdf" TargetMode="External"/><Relationship Id="rId134" Type="http://schemas.openxmlformats.org/officeDocument/2006/relationships/hyperlink" Target="https://doi.org/10.2307/2539013" TargetMode="External"/><Relationship Id="rId80" Type="http://schemas.openxmlformats.org/officeDocument/2006/relationships/hyperlink" Target="https://doi.org/10.1016/j.ecolecon.2011.09.014" TargetMode="External"/><Relationship Id="rId155" Type="http://schemas.openxmlformats.org/officeDocument/2006/relationships/hyperlink" Target="https://doi.org/10.1016/j.enpol.2009.10.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1B34B-5AB9-428E-B47C-E4B44A17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18055</Words>
  <Characters>102917</Characters>
  <Application>Microsoft Office Word</Application>
  <DocSecurity>0</DocSecurity>
  <Lines>857</Lines>
  <Paragraphs>241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Chenmin</dc:creator>
  <cp:lastModifiedBy>Yunting Duan</cp:lastModifiedBy>
  <cp:revision>4</cp:revision>
  <cp:lastPrinted>2018-08-23T18:37:00Z</cp:lastPrinted>
  <dcterms:created xsi:type="dcterms:W3CDTF">2018-11-12T06:09:00Z</dcterms:created>
  <dcterms:modified xsi:type="dcterms:W3CDTF">2018-11-12T06:46:00Z</dcterms:modified>
</cp:coreProperties>
</file>