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ABD81" w14:textId="7A2B0AF6" w:rsidR="00040722" w:rsidRPr="00EB28E7" w:rsidRDefault="000828BB" w:rsidP="00AE59CD">
      <w:pPr>
        <w:pStyle w:val="Heading1"/>
      </w:pPr>
      <w:r w:rsidRPr="00EB28E7">
        <w:t xml:space="preserve">Approach to </w:t>
      </w:r>
      <w:r w:rsidR="00834D64" w:rsidRPr="00EB28E7">
        <w:t>Assessment of Policy Effectiveness</w:t>
      </w:r>
    </w:p>
    <w:p w14:paraId="3234FF31" w14:textId="1D46F32D" w:rsidR="00040722" w:rsidRPr="00C901F8" w:rsidRDefault="00834D64" w:rsidP="00566049">
      <w:pPr>
        <w:rPr>
          <w:color w:val="auto"/>
        </w:rPr>
      </w:pPr>
      <w:r w:rsidRPr="00C901F8">
        <w:rPr>
          <w:b/>
          <w:color w:val="auto"/>
        </w:rPr>
        <w:t>Coordinating Lead Authors:</w:t>
      </w:r>
      <w:r w:rsidRPr="00C901F8">
        <w:rPr>
          <w:color w:val="auto"/>
        </w:rPr>
        <w:t xml:space="preserve"> </w:t>
      </w:r>
      <w:r w:rsidR="00024BBE" w:rsidRPr="00C901F8">
        <w:rPr>
          <w:color w:val="auto"/>
        </w:rPr>
        <w:t>Klaus Jacob (</w:t>
      </w:r>
      <w:proofErr w:type="spellStart"/>
      <w:r w:rsidR="00024BBE" w:rsidRPr="00C901F8">
        <w:rPr>
          <w:color w:val="auto"/>
        </w:rPr>
        <w:t>Freie</w:t>
      </w:r>
      <w:proofErr w:type="spellEnd"/>
      <w:r w:rsidR="00024BBE" w:rsidRPr="00C901F8">
        <w:rPr>
          <w:color w:val="auto"/>
        </w:rPr>
        <w:t xml:space="preserve"> </w:t>
      </w:r>
      <w:proofErr w:type="spellStart"/>
      <w:r w:rsidR="00024BBE" w:rsidRPr="00C901F8">
        <w:rPr>
          <w:color w:val="auto"/>
        </w:rPr>
        <w:t>Universitaet</w:t>
      </w:r>
      <w:proofErr w:type="spellEnd"/>
      <w:r w:rsidR="00024BBE" w:rsidRPr="00C901F8">
        <w:rPr>
          <w:color w:val="auto"/>
        </w:rPr>
        <w:t xml:space="preserve"> Berlin), Peter King (Institute for Global Environmental Strategies), Diana </w:t>
      </w:r>
      <w:proofErr w:type="spellStart"/>
      <w:r w:rsidR="00024BBE" w:rsidRPr="00C901F8">
        <w:rPr>
          <w:color w:val="auto"/>
        </w:rPr>
        <w:t>Mangalagiu</w:t>
      </w:r>
      <w:proofErr w:type="spellEnd"/>
      <w:r w:rsidR="00024BBE" w:rsidRPr="00C901F8">
        <w:rPr>
          <w:color w:val="auto"/>
        </w:rPr>
        <w:t xml:space="preserve"> (</w:t>
      </w:r>
      <w:r w:rsidR="00A07B05" w:rsidRPr="00C901F8">
        <w:rPr>
          <w:color w:val="auto"/>
        </w:rPr>
        <w:t>University of Oxford</w:t>
      </w:r>
      <w:r w:rsidR="00024BBE" w:rsidRPr="00C901F8">
        <w:rPr>
          <w:color w:val="auto"/>
        </w:rPr>
        <w:t>)</w:t>
      </w:r>
    </w:p>
    <w:p w14:paraId="362EC20F" w14:textId="6134672F" w:rsidR="00040722" w:rsidRPr="00C901F8" w:rsidRDefault="000D7D10" w:rsidP="00F67B0B">
      <w:pPr>
        <w:rPr>
          <w:color w:val="auto"/>
        </w:rPr>
      </w:pPr>
      <w:r w:rsidRPr="00C901F8">
        <w:rPr>
          <w:b/>
          <w:color w:val="auto"/>
        </w:rPr>
        <w:t>Contributing Author</w:t>
      </w:r>
      <w:r w:rsidR="00E81115" w:rsidRPr="00C901F8">
        <w:rPr>
          <w:b/>
          <w:color w:val="auto"/>
        </w:rPr>
        <w:t>:</w:t>
      </w:r>
      <w:r w:rsidR="00E81115" w:rsidRPr="00C901F8">
        <w:rPr>
          <w:color w:val="auto"/>
        </w:rPr>
        <w:t xml:space="preserve"> Beatriz Rodríguez-</w:t>
      </w:r>
      <w:proofErr w:type="spellStart"/>
      <w:r w:rsidR="00E81115" w:rsidRPr="00C901F8">
        <w:rPr>
          <w:color w:val="auto"/>
        </w:rPr>
        <w:t>Labajos</w:t>
      </w:r>
      <w:proofErr w:type="spellEnd"/>
      <w:r w:rsidR="00E81115" w:rsidRPr="00C901F8">
        <w:rPr>
          <w:color w:val="auto"/>
        </w:rPr>
        <w:t xml:space="preserve"> </w:t>
      </w:r>
      <w:r w:rsidR="00F67B0B" w:rsidRPr="00C901F8">
        <w:rPr>
          <w:color w:val="auto"/>
        </w:rPr>
        <w:t>(</w:t>
      </w:r>
      <w:proofErr w:type="spellStart"/>
      <w:r w:rsidR="00EC27F4" w:rsidRPr="00571D9E">
        <w:rPr>
          <w:rFonts w:eastAsiaTheme="minorHAnsi"/>
          <w:lang w:eastAsia="fr-FR"/>
        </w:rPr>
        <w:t>Universitat</w:t>
      </w:r>
      <w:proofErr w:type="spellEnd"/>
      <w:r w:rsidR="00EC27F4" w:rsidRPr="00571D9E">
        <w:rPr>
          <w:rFonts w:eastAsiaTheme="minorHAnsi"/>
          <w:lang w:eastAsia="fr-FR"/>
        </w:rPr>
        <w:t xml:space="preserve"> </w:t>
      </w:r>
      <w:proofErr w:type="spellStart"/>
      <w:r w:rsidR="00EC27F4" w:rsidRPr="00571D9E">
        <w:rPr>
          <w:rFonts w:eastAsiaTheme="minorHAnsi"/>
          <w:lang w:eastAsia="fr-FR"/>
        </w:rPr>
        <w:t>Autònoma</w:t>
      </w:r>
      <w:proofErr w:type="spellEnd"/>
      <w:r w:rsidR="00EC27F4" w:rsidRPr="00571D9E">
        <w:rPr>
          <w:rFonts w:eastAsiaTheme="minorHAnsi"/>
          <w:lang w:eastAsia="fr-FR"/>
        </w:rPr>
        <w:t xml:space="preserve"> de Barcelona</w:t>
      </w:r>
      <w:r w:rsidR="00F67B0B" w:rsidRPr="00C901F8">
        <w:rPr>
          <w:color w:val="auto"/>
        </w:rPr>
        <w:t>)</w:t>
      </w:r>
    </w:p>
    <w:p w14:paraId="3AD78953" w14:textId="0168ADF2" w:rsidR="00040722" w:rsidRPr="00EB28E7" w:rsidRDefault="00140B4A" w:rsidP="00AE59CD">
      <w:pPr>
        <w:pStyle w:val="Heading2"/>
      </w:pPr>
      <w:bookmarkStart w:id="0" w:name="_gjdgxs" w:colFirst="0" w:colLast="0"/>
      <w:bookmarkEnd w:id="0"/>
      <w:r w:rsidRPr="00EB28E7">
        <w:t xml:space="preserve">The </w:t>
      </w:r>
      <w:r w:rsidR="00AE59CD" w:rsidRPr="00AE59CD">
        <w:t>C</w:t>
      </w:r>
      <w:r w:rsidR="00061DCC" w:rsidRPr="00EB28E7">
        <w:t>ontext</w:t>
      </w:r>
    </w:p>
    <w:p w14:paraId="79BC00C0" w14:textId="77777777" w:rsidR="00040722" w:rsidRPr="00C901F8" w:rsidRDefault="00024BBE" w:rsidP="00566049">
      <w:pPr>
        <w:rPr>
          <w:color w:val="auto"/>
        </w:rPr>
      </w:pPr>
      <w:r w:rsidRPr="00C901F8">
        <w:rPr>
          <w:color w:val="auto"/>
        </w:rPr>
        <w:t>Policies</w:t>
      </w:r>
      <w:r w:rsidR="00354578" w:rsidRPr="00C901F8">
        <w:rPr>
          <w:color w:val="auto"/>
        </w:rPr>
        <w:t xml:space="preserve"> </w:t>
      </w:r>
      <w:r w:rsidR="006F1456" w:rsidRPr="00C901F8">
        <w:rPr>
          <w:color w:val="auto"/>
        </w:rPr>
        <w:t>are crucial</w:t>
      </w:r>
      <w:r w:rsidR="00354578" w:rsidRPr="00C901F8">
        <w:rPr>
          <w:color w:val="auto"/>
        </w:rPr>
        <w:t xml:space="preserve"> in determining</w:t>
      </w:r>
      <w:r w:rsidRPr="00C901F8">
        <w:rPr>
          <w:color w:val="auto"/>
        </w:rPr>
        <w:t xml:space="preserve"> and improving the state of our environment. A simple way to think about policy and policy instruments is that a policy is a statement of intent to change behaviour in a positive way, while an instrument is the means or a specific measure to translate that intent into action </w:t>
      </w:r>
      <w:r w:rsidRPr="005E6BFA">
        <w:rPr>
          <w:color w:val="auto"/>
        </w:rPr>
        <w:t>(</w:t>
      </w:r>
      <w:proofErr w:type="spellStart"/>
      <w:r w:rsidRPr="005E6BFA">
        <w:rPr>
          <w:color w:val="auto"/>
        </w:rPr>
        <w:t>Mees</w:t>
      </w:r>
      <w:proofErr w:type="spellEnd"/>
      <w:r w:rsidRPr="005E6BFA">
        <w:rPr>
          <w:color w:val="auto"/>
        </w:rPr>
        <w:t xml:space="preserve"> </w:t>
      </w:r>
      <w:r w:rsidRPr="005E6BFA">
        <w:rPr>
          <w:i/>
          <w:color w:val="auto"/>
        </w:rPr>
        <w:t>et al.</w:t>
      </w:r>
      <w:r w:rsidRPr="005E6BFA">
        <w:rPr>
          <w:color w:val="auto"/>
        </w:rPr>
        <w:t xml:space="preserve"> </w:t>
      </w:r>
      <w:r w:rsidR="00040722" w:rsidRPr="005E6BFA">
        <w:rPr>
          <w:color w:val="auto"/>
        </w:rPr>
        <w:t>2014</w:t>
      </w:r>
      <w:r w:rsidRPr="005E6BFA">
        <w:rPr>
          <w:color w:val="auto"/>
        </w:rPr>
        <w:t>)</w:t>
      </w:r>
      <w:r w:rsidRPr="00C901F8">
        <w:rPr>
          <w:color w:val="auto"/>
        </w:rPr>
        <w:t xml:space="preserve">. Therefore, discussion of effectiveness of environmental policies means addressing both aspects. </w:t>
      </w:r>
      <w:r w:rsidR="00600445" w:rsidRPr="00C901F8">
        <w:rPr>
          <w:color w:val="auto"/>
        </w:rPr>
        <w:t xml:space="preserve">Goal setting (including targets, indicators and </w:t>
      </w:r>
      <w:r w:rsidR="00040722" w:rsidRPr="005E6BFA">
        <w:rPr>
          <w:color w:val="auto"/>
        </w:rPr>
        <w:t>time frame</w:t>
      </w:r>
      <w:r w:rsidR="00600445" w:rsidRPr="00C901F8">
        <w:rPr>
          <w:color w:val="auto"/>
        </w:rPr>
        <w:t xml:space="preserve">s) is an important step towards legitimization of environmental policies. </w:t>
      </w:r>
      <w:r w:rsidR="00701400" w:rsidRPr="00C901F8">
        <w:rPr>
          <w:color w:val="auto"/>
        </w:rPr>
        <w:t xml:space="preserve">Execution of the policy instruments is through effective governance. </w:t>
      </w:r>
      <w:r w:rsidR="00C0423A" w:rsidRPr="00C901F8">
        <w:rPr>
          <w:color w:val="auto"/>
        </w:rPr>
        <w:t xml:space="preserve">Governance is “the process whereby societies or organizations make important decisions, determine whom they involve and how they render account” </w:t>
      </w:r>
      <w:r w:rsidR="00C0423A" w:rsidRPr="00766798">
        <w:rPr>
          <w:color w:val="auto"/>
        </w:rPr>
        <w:t xml:space="preserve">(United Nations Economic and Social Council </w:t>
      </w:r>
      <w:r w:rsidR="00040722" w:rsidRPr="00766798">
        <w:rPr>
          <w:color w:val="auto"/>
        </w:rPr>
        <w:t>2006</w:t>
      </w:r>
      <w:r w:rsidR="00C0423A" w:rsidRPr="00766798">
        <w:rPr>
          <w:color w:val="auto"/>
        </w:rPr>
        <w:t>)</w:t>
      </w:r>
      <w:r w:rsidR="00701400" w:rsidRPr="00FB788D">
        <w:rPr>
          <w:color w:val="auto"/>
        </w:rPr>
        <w:t xml:space="preserve">. </w:t>
      </w:r>
      <w:r w:rsidR="00600445" w:rsidRPr="00FB788D">
        <w:rPr>
          <w:color w:val="auto"/>
        </w:rPr>
        <w:t>The recently</w:t>
      </w:r>
      <w:r w:rsidR="00600445" w:rsidRPr="00C901F8">
        <w:rPr>
          <w:color w:val="auto"/>
        </w:rPr>
        <w:t xml:space="preserve"> adopted </w:t>
      </w:r>
      <w:r w:rsidR="00F004A9" w:rsidRPr="00C901F8">
        <w:rPr>
          <w:color w:val="auto"/>
        </w:rPr>
        <w:t>Sustainable Development Goals (</w:t>
      </w:r>
      <w:r w:rsidR="00600445" w:rsidRPr="00C901F8">
        <w:rPr>
          <w:color w:val="auto"/>
        </w:rPr>
        <w:t>SDGs</w:t>
      </w:r>
      <w:r w:rsidR="00F004A9" w:rsidRPr="00C901F8">
        <w:rPr>
          <w:color w:val="auto"/>
        </w:rPr>
        <w:t>)</w:t>
      </w:r>
      <w:r w:rsidR="00600445" w:rsidRPr="00C901F8">
        <w:rPr>
          <w:color w:val="auto"/>
        </w:rPr>
        <w:t xml:space="preserve"> give a new impetus to </w:t>
      </w:r>
      <w:r w:rsidR="00040722" w:rsidRPr="00C901F8">
        <w:rPr>
          <w:color w:val="auto"/>
        </w:rPr>
        <w:t>‘</w:t>
      </w:r>
      <w:r w:rsidR="00600445" w:rsidRPr="00C901F8">
        <w:rPr>
          <w:color w:val="auto"/>
        </w:rPr>
        <w:t>governing through goals</w:t>
      </w:r>
      <w:r w:rsidR="00040722" w:rsidRPr="00C901F8">
        <w:rPr>
          <w:color w:val="auto"/>
        </w:rPr>
        <w:t>’</w:t>
      </w:r>
      <w:r w:rsidR="00600445" w:rsidRPr="00C901F8">
        <w:rPr>
          <w:color w:val="auto"/>
        </w:rPr>
        <w:t xml:space="preserve"> </w:t>
      </w:r>
      <w:r w:rsidR="00600445" w:rsidRPr="005E6BFA">
        <w:rPr>
          <w:color w:val="auto"/>
        </w:rPr>
        <w:t xml:space="preserve">(Yoshida and </w:t>
      </w:r>
      <w:proofErr w:type="spellStart"/>
      <w:r w:rsidR="00600445" w:rsidRPr="005E6BFA">
        <w:rPr>
          <w:color w:val="auto"/>
        </w:rPr>
        <w:t>Zusman</w:t>
      </w:r>
      <w:proofErr w:type="spellEnd"/>
      <w:r w:rsidR="00600445" w:rsidRPr="005E6BFA">
        <w:rPr>
          <w:color w:val="auto"/>
        </w:rPr>
        <w:t xml:space="preserve"> </w:t>
      </w:r>
      <w:r w:rsidR="00040722" w:rsidRPr="005E6BFA">
        <w:rPr>
          <w:color w:val="auto"/>
        </w:rPr>
        <w:t>2015</w:t>
      </w:r>
      <w:r w:rsidR="00600445" w:rsidRPr="005E6BFA">
        <w:rPr>
          <w:color w:val="auto"/>
        </w:rPr>
        <w:t>)</w:t>
      </w:r>
      <w:r w:rsidR="00600445" w:rsidRPr="00C901F8">
        <w:rPr>
          <w:color w:val="auto"/>
        </w:rPr>
        <w:t>.</w:t>
      </w:r>
    </w:p>
    <w:p w14:paraId="3C75D085" w14:textId="77777777" w:rsidR="00040722" w:rsidRPr="00C901F8" w:rsidRDefault="00024BBE" w:rsidP="00566049">
      <w:pPr>
        <w:rPr>
          <w:color w:val="auto"/>
        </w:rPr>
      </w:pPr>
      <w:r w:rsidRPr="00C901F8">
        <w:rPr>
          <w:color w:val="auto"/>
        </w:rPr>
        <w:t>Strong environmental policies form an integral component of UN Environment</w:t>
      </w:r>
      <w:r w:rsidR="00040722" w:rsidRPr="00C901F8">
        <w:rPr>
          <w:color w:val="auto"/>
        </w:rPr>
        <w:t>’</w:t>
      </w:r>
      <w:r w:rsidRPr="00C901F8">
        <w:rPr>
          <w:color w:val="auto"/>
        </w:rPr>
        <w:t>s theory of change, which posits alternative pathways to global sustainable development. UN Environment defines a theory of change as when “an intervention depicts the causal pathways from outputs through outcomes via intermediate states towards impact</w:t>
      </w:r>
      <w:r w:rsidR="00B8788D">
        <w:rPr>
          <w:color w:val="auto"/>
        </w:rPr>
        <w:t>”</w:t>
      </w:r>
      <w:r w:rsidR="00765DAD" w:rsidRPr="00C901F8">
        <w:rPr>
          <w:color w:val="auto"/>
        </w:rPr>
        <w:t xml:space="preserve"> </w:t>
      </w:r>
      <w:r w:rsidR="00765DAD" w:rsidRPr="005E6BFA">
        <w:rPr>
          <w:color w:val="auto"/>
        </w:rPr>
        <w:t>(United Nations Environment Pr</w:t>
      </w:r>
      <w:r w:rsidR="00040722" w:rsidRPr="005E6BFA">
        <w:rPr>
          <w:color w:val="auto"/>
        </w:rPr>
        <w:t>ogra</w:t>
      </w:r>
      <w:r w:rsidR="00765DAD" w:rsidRPr="005E6BFA">
        <w:rPr>
          <w:color w:val="auto"/>
        </w:rPr>
        <w:t xml:space="preserve">mme [UNEP] </w:t>
      </w:r>
      <w:r w:rsidR="00040722" w:rsidRPr="005E6BFA">
        <w:rPr>
          <w:color w:val="auto"/>
        </w:rPr>
        <w:t>2017</w:t>
      </w:r>
      <w:r w:rsidR="00765DAD" w:rsidRPr="005E6BFA">
        <w:rPr>
          <w:color w:val="auto"/>
        </w:rPr>
        <w:t>)</w:t>
      </w:r>
      <w:r w:rsidRPr="00C901F8">
        <w:rPr>
          <w:color w:val="auto"/>
        </w:rPr>
        <w:t xml:space="preserve">. The </w:t>
      </w:r>
      <w:r w:rsidR="00B8788D" w:rsidRPr="00C901F8">
        <w:rPr>
          <w:color w:val="auto"/>
        </w:rPr>
        <w:t>theory of change</w:t>
      </w:r>
      <w:r w:rsidR="00B8788D" w:rsidRPr="005E6BFA">
        <w:rPr>
          <w:color w:val="auto"/>
        </w:rPr>
        <w:t xml:space="preserve"> </w:t>
      </w:r>
      <w:r w:rsidRPr="00C901F8">
        <w:rPr>
          <w:color w:val="auto"/>
        </w:rPr>
        <w:t>further defines the external factors that influence change along the major pathways</w:t>
      </w:r>
      <w:r w:rsidR="006E05DC">
        <w:rPr>
          <w:color w:val="auto"/>
        </w:rPr>
        <w:t xml:space="preserve"> –</w:t>
      </w:r>
      <w:r w:rsidRPr="00C901F8">
        <w:rPr>
          <w:color w:val="auto"/>
        </w:rPr>
        <w:t xml:space="preserve"> </w:t>
      </w:r>
      <w:r w:rsidR="006E05DC">
        <w:rPr>
          <w:color w:val="auto"/>
        </w:rPr>
        <w:t xml:space="preserve">that </w:t>
      </w:r>
      <w:r w:rsidRPr="00C901F8">
        <w:rPr>
          <w:color w:val="auto"/>
        </w:rPr>
        <w:t>i</w:t>
      </w:r>
      <w:r w:rsidR="006E05DC">
        <w:rPr>
          <w:color w:val="auto"/>
        </w:rPr>
        <w:t>s</w:t>
      </w:r>
      <w:r w:rsidRPr="00C901F8">
        <w:rPr>
          <w:color w:val="auto"/>
        </w:rPr>
        <w:t xml:space="preserve"> factors that affect whether one result can lead to the next. These contributing</w:t>
      </w:r>
      <w:r w:rsidR="00040722" w:rsidRPr="005E6BFA">
        <w:rPr>
          <w:color w:val="auto"/>
        </w:rPr>
        <w:t xml:space="preserve"> </w:t>
      </w:r>
      <w:r w:rsidRPr="00C901F8">
        <w:rPr>
          <w:color w:val="auto"/>
        </w:rPr>
        <w:t>factors are called</w:t>
      </w:r>
      <w:r w:rsidR="00040722" w:rsidRPr="005E6BFA">
        <w:rPr>
          <w:color w:val="auto"/>
        </w:rPr>
        <w:t xml:space="preserve"> </w:t>
      </w:r>
      <w:r w:rsidRPr="00C901F8">
        <w:rPr>
          <w:color w:val="auto"/>
        </w:rPr>
        <w:t>drivers</w:t>
      </w:r>
      <w:r w:rsidR="00040722" w:rsidRPr="005E6BFA">
        <w:rPr>
          <w:color w:val="auto"/>
        </w:rPr>
        <w:t xml:space="preserve"> </w:t>
      </w:r>
      <w:r w:rsidRPr="00C901F8">
        <w:rPr>
          <w:color w:val="auto"/>
        </w:rPr>
        <w:t>and</w:t>
      </w:r>
      <w:r w:rsidR="00040722" w:rsidRPr="005E6BFA">
        <w:rPr>
          <w:color w:val="auto"/>
        </w:rPr>
        <w:t xml:space="preserve"> </w:t>
      </w:r>
      <w:r w:rsidRPr="00C901F8">
        <w:rPr>
          <w:color w:val="auto"/>
        </w:rPr>
        <w:t>assumptions.</w:t>
      </w:r>
    </w:p>
    <w:p w14:paraId="0ECD4115" w14:textId="4AB28C19" w:rsidR="00040722" w:rsidRPr="00C901F8" w:rsidRDefault="00024BBE" w:rsidP="00566049">
      <w:pPr>
        <w:rPr>
          <w:color w:val="auto"/>
        </w:rPr>
      </w:pPr>
      <w:r w:rsidRPr="00C901F8">
        <w:rPr>
          <w:color w:val="auto"/>
        </w:rPr>
        <w:t xml:space="preserve">The theory of change for </w:t>
      </w:r>
      <w:r w:rsidR="006E05DC" w:rsidRPr="006E05DC">
        <w:rPr>
          <w:color w:val="auto"/>
        </w:rPr>
        <w:t xml:space="preserve">the </w:t>
      </w:r>
      <w:r w:rsidR="006E05DC">
        <w:rPr>
          <w:color w:val="auto"/>
        </w:rPr>
        <w:t>fifth</w:t>
      </w:r>
      <w:r w:rsidR="006E05DC" w:rsidRPr="006E05DC">
        <w:rPr>
          <w:color w:val="auto"/>
        </w:rPr>
        <w:t xml:space="preserve"> Global Environment Outlook</w:t>
      </w:r>
      <w:r w:rsidR="006E05DC">
        <w:rPr>
          <w:color w:val="auto"/>
        </w:rPr>
        <w:t xml:space="preserve"> (</w:t>
      </w:r>
      <w:r w:rsidRPr="00C901F8">
        <w:rPr>
          <w:color w:val="auto"/>
        </w:rPr>
        <w:t>GEO-5</w:t>
      </w:r>
      <w:r w:rsidR="006E05DC">
        <w:rPr>
          <w:color w:val="auto"/>
        </w:rPr>
        <w:t>)</w:t>
      </w:r>
      <w:r w:rsidRPr="00C901F8">
        <w:rPr>
          <w:color w:val="auto"/>
        </w:rPr>
        <w:t xml:space="preserve"> showed an expectation that GEO should be policy relevant and draw from a good understanding of global and regional policy issues </w:t>
      </w:r>
      <w:r w:rsidR="00765DAD" w:rsidRPr="005E6BFA">
        <w:rPr>
          <w:color w:val="auto"/>
        </w:rPr>
        <w:t>(</w:t>
      </w:r>
      <w:r w:rsidRPr="005E6BFA">
        <w:rPr>
          <w:color w:val="auto"/>
        </w:rPr>
        <w:t xml:space="preserve">UNEP </w:t>
      </w:r>
      <w:r w:rsidR="00040722" w:rsidRPr="005E6BFA">
        <w:rPr>
          <w:color w:val="auto"/>
        </w:rPr>
        <w:t>2012</w:t>
      </w:r>
      <w:r w:rsidRPr="005E6BFA">
        <w:rPr>
          <w:color w:val="auto"/>
        </w:rPr>
        <w:t>)</w:t>
      </w:r>
      <w:r w:rsidRPr="00C901F8">
        <w:rPr>
          <w:color w:val="auto"/>
        </w:rPr>
        <w:t>.</w:t>
      </w:r>
      <w:r w:rsidR="005A72E8" w:rsidRPr="00C901F8">
        <w:rPr>
          <w:color w:val="auto"/>
        </w:rPr>
        <w:t xml:space="preserve"> </w:t>
      </w:r>
      <w:bookmarkStart w:id="1" w:name="_30j0zll" w:colFirst="0" w:colLast="0"/>
      <w:bookmarkEnd w:id="1"/>
      <w:r w:rsidRPr="00C901F8">
        <w:rPr>
          <w:color w:val="auto"/>
        </w:rPr>
        <w:t xml:space="preserve">In GEO-6, however, policy effectiveness is seen to be more central in the theory of change, as shown in </w:t>
      </w:r>
      <w:r w:rsidR="00493214" w:rsidRPr="005E6BFA">
        <w:rPr>
          <w:color w:val="auto"/>
        </w:rPr>
        <w:t>Annex 1-3</w:t>
      </w:r>
      <w:r w:rsidR="005A72E8" w:rsidRPr="00C901F8">
        <w:rPr>
          <w:color w:val="auto"/>
        </w:rPr>
        <w:t xml:space="preserve">. </w:t>
      </w:r>
      <w:r w:rsidRPr="00C901F8">
        <w:rPr>
          <w:color w:val="auto"/>
        </w:rPr>
        <w:t>Reflecting on the mandate of UN Environment</w:t>
      </w:r>
      <w:r w:rsidR="00040722" w:rsidRPr="00C901F8">
        <w:rPr>
          <w:color w:val="auto"/>
        </w:rPr>
        <w:t>’</w:t>
      </w:r>
      <w:r w:rsidRPr="00C901F8">
        <w:rPr>
          <w:color w:val="auto"/>
        </w:rPr>
        <w:t xml:space="preserve">s High Level Intergovernmental and Stakeholder Advisory Group, it is no longer </w:t>
      </w:r>
      <w:proofErr w:type="gramStart"/>
      <w:r w:rsidRPr="00C901F8">
        <w:rPr>
          <w:color w:val="auto"/>
        </w:rPr>
        <w:t>sufficient</w:t>
      </w:r>
      <w:proofErr w:type="gramEnd"/>
      <w:r w:rsidRPr="00C901F8">
        <w:rPr>
          <w:color w:val="auto"/>
        </w:rPr>
        <w:t xml:space="preserve"> to be merely policy relevant.</w:t>
      </w:r>
      <w:r w:rsidR="00040722" w:rsidRPr="005E6BFA">
        <w:rPr>
          <w:color w:val="auto"/>
        </w:rPr>
        <w:t xml:space="preserve"> </w:t>
      </w:r>
      <w:r w:rsidRPr="00C901F8">
        <w:rPr>
          <w:color w:val="auto"/>
        </w:rPr>
        <w:t xml:space="preserve">Member governments want to know which policies are most effective in </w:t>
      </w:r>
      <w:r w:rsidR="00040722" w:rsidRPr="00B4619D">
        <w:rPr>
          <w:color w:val="auto"/>
        </w:rPr>
        <w:t>dealing</w:t>
      </w:r>
      <w:r w:rsidRPr="00C901F8">
        <w:rPr>
          <w:color w:val="auto"/>
        </w:rPr>
        <w:t xml:space="preserve"> with </w:t>
      </w:r>
      <w:r w:rsidR="00040722" w:rsidRPr="00B4619D">
        <w:rPr>
          <w:color w:val="auto"/>
        </w:rPr>
        <w:t>seemingly</w:t>
      </w:r>
      <w:r w:rsidRPr="00C901F8">
        <w:rPr>
          <w:color w:val="auto"/>
        </w:rPr>
        <w:t xml:space="preserve"> intransigent </w:t>
      </w:r>
      <w:r w:rsidR="004137EF" w:rsidRPr="00C901F8">
        <w:rPr>
          <w:color w:val="auto"/>
        </w:rPr>
        <w:t xml:space="preserve">and insurmountable </w:t>
      </w:r>
      <w:r w:rsidRPr="00C901F8">
        <w:rPr>
          <w:color w:val="auto"/>
        </w:rPr>
        <w:t xml:space="preserve">environmental problems. Using the </w:t>
      </w:r>
      <w:r w:rsidR="006E05DC" w:rsidRPr="006E05DC">
        <w:rPr>
          <w:color w:val="auto"/>
        </w:rPr>
        <w:t>Drivers, Pressures, State, Impact, Response</w:t>
      </w:r>
      <w:r w:rsidR="006E05DC">
        <w:rPr>
          <w:color w:val="auto"/>
        </w:rPr>
        <w:t xml:space="preserve"> (</w:t>
      </w:r>
      <w:r w:rsidRPr="00C901F8">
        <w:rPr>
          <w:color w:val="auto"/>
        </w:rPr>
        <w:t>DPSIR</w:t>
      </w:r>
      <w:r w:rsidR="006E05DC">
        <w:rPr>
          <w:color w:val="auto"/>
        </w:rPr>
        <w:t>)</w:t>
      </w:r>
      <w:r w:rsidRPr="00C901F8">
        <w:rPr>
          <w:color w:val="auto"/>
        </w:rPr>
        <w:t xml:space="preserve"> framework</w:t>
      </w:r>
      <w:r w:rsidR="005A4CBC" w:rsidRPr="00C901F8">
        <w:rPr>
          <w:color w:val="auto"/>
        </w:rPr>
        <w:t xml:space="preserve"> (see </w:t>
      </w:r>
      <w:r w:rsidR="005A4CBC" w:rsidRPr="00C901F8">
        <w:rPr>
          <w:noProof/>
          <w:color w:val="auto"/>
          <w:lang w:eastAsia="zh-CN"/>
        </w:rPr>
        <w:t>Fig</w:t>
      </w:r>
      <w:r w:rsidR="00C80771">
        <w:rPr>
          <w:noProof/>
          <w:color w:val="auto"/>
          <w:lang w:eastAsia="zh-CN"/>
        </w:rPr>
        <w:t>ure</w:t>
      </w:r>
      <w:r w:rsidR="005A4CBC" w:rsidRPr="00C901F8">
        <w:rPr>
          <w:color w:val="auto"/>
        </w:rPr>
        <w:t xml:space="preserve"> </w:t>
      </w:r>
      <w:r w:rsidR="005A4CBC" w:rsidRPr="00C901F8">
        <w:rPr>
          <w:color w:val="auto"/>
        </w:rPr>
        <w:fldChar w:fldCharType="begin"/>
      </w:r>
      <w:r w:rsidR="005A4CBC" w:rsidRPr="00C901F8">
        <w:rPr>
          <w:color w:val="auto"/>
        </w:rPr>
        <w:instrText xml:space="preserve"> STYLEREF 1 \s </w:instrText>
      </w:r>
      <w:r w:rsidR="005A4CBC" w:rsidRPr="00C901F8">
        <w:rPr>
          <w:color w:val="auto"/>
        </w:rPr>
        <w:fldChar w:fldCharType="separate"/>
      </w:r>
      <w:r w:rsidR="005A4CBC" w:rsidRPr="00C901F8">
        <w:rPr>
          <w:noProof/>
          <w:color w:val="auto"/>
        </w:rPr>
        <w:t>1</w:t>
      </w:r>
      <w:r w:rsidR="005A4CBC" w:rsidRPr="00C901F8">
        <w:rPr>
          <w:noProof/>
          <w:color w:val="auto"/>
        </w:rPr>
        <w:fldChar w:fldCharType="end"/>
      </w:r>
      <w:r w:rsidR="005A4CBC" w:rsidRPr="00C901F8">
        <w:rPr>
          <w:color w:val="auto"/>
        </w:rPr>
        <w:t>.</w:t>
      </w:r>
      <w:r w:rsidR="005A4CBC" w:rsidRPr="00C901F8">
        <w:rPr>
          <w:color w:val="auto"/>
        </w:rPr>
        <w:fldChar w:fldCharType="begin"/>
      </w:r>
      <w:r w:rsidR="005A4CBC" w:rsidRPr="00C901F8">
        <w:rPr>
          <w:color w:val="auto"/>
        </w:rPr>
        <w:instrText xml:space="preserve"> SEQ Box \* ARABIC \s 1 </w:instrText>
      </w:r>
      <w:r w:rsidR="005A4CBC" w:rsidRPr="00C901F8">
        <w:rPr>
          <w:color w:val="auto"/>
        </w:rPr>
        <w:fldChar w:fldCharType="separate"/>
      </w:r>
      <w:r w:rsidR="005A4CBC" w:rsidRPr="00C901F8">
        <w:rPr>
          <w:noProof/>
          <w:color w:val="auto"/>
        </w:rPr>
        <w:t>2</w:t>
      </w:r>
      <w:r w:rsidR="005A4CBC" w:rsidRPr="00C901F8">
        <w:rPr>
          <w:noProof/>
          <w:color w:val="auto"/>
        </w:rPr>
        <w:fldChar w:fldCharType="end"/>
      </w:r>
      <w:r w:rsidR="005A4CBC" w:rsidRPr="00C901F8">
        <w:rPr>
          <w:noProof/>
          <w:color w:val="auto"/>
        </w:rPr>
        <w:t>, Chapter 1)</w:t>
      </w:r>
      <w:r w:rsidRPr="00C901F8">
        <w:rPr>
          <w:color w:val="auto"/>
        </w:rPr>
        <w:t xml:space="preserve">, current responses to environmental problems are </w:t>
      </w:r>
      <w:r w:rsidR="006F4912">
        <w:rPr>
          <w:color w:val="auto"/>
        </w:rPr>
        <w:t xml:space="preserve">discussed in the thematic chapters </w:t>
      </w:r>
      <w:r w:rsidRPr="00C901F8">
        <w:rPr>
          <w:color w:val="auto"/>
        </w:rPr>
        <w:t>in Part A of th</w:t>
      </w:r>
      <w:r w:rsidR="006E05DC">
        <w:rPr>
          <w:color w:val="auto"/>
        </w:rPr>
        <w:t>is</w:t>
      </w:r>
      <w:r w:rsidRPr="00C901F8">
        <w:rPr>
          <w:color w:val="auto"/>
        </w:rPr>
        <w:t xml:space="preserve"> report, while Part B addresses the question of </w:t>
      </w:r>
      <w:r w:rsidR="006F4912">
        <w:rPr>
          <w:color w:val="auto"/>
        </w:rPr>
        <w:t xml:space="preserve">when these </w:t>
      </w:r>
      <w:r w:rsidRPr="00C901F8">
        <w:rPr>
          <w:color w:val="auto"/>
        </w:rPr>
        <w:t xml:space="preserve">policy </w:t>
      </w:r>
      <w:r w:rsidR="006F4912">
        <w:rPr>
          <w:color w:val="auto"/>
        </w:rPr>
        <w:t xml:space="preserve">are </w:t>
      </w:r>
      <w:r w:rsidRPr="00C901F8">
        <w:rPr>
          <w:color w:val="auto"/>
        </w:rPr>
        <w:t>effective, and Part C incorporates the most promising policy approaches into the pathways of transformation. While GEO</w:t>
      </w:r>
      <w:r w:rsidR="00EF5245" w:rsidRPr="00C901F8">
        <w:rPr>
          <w:color w:val="auto"/>
        </w:rPr>
        <w:t>-</w:t>
      </w:r>
      <w:r w:rsidRPr="00C901F8">
        <w:rPr>
          <w:color w:val="auto"/>
        </w:rPr>
        <w:t xml:space="preserve">6 is not policy prescriptive, it offers guidance to governments and </w:t>
      </w:r>
      <w:r w:rsidR="00040722" w:rsidRPr="005E6BFA">
        <w:rPr>
          <w:color w:val="auto"/>
        </w:rPr>
        <w:t>policymak</w:t>
      </w:r>
      <w:r w:rsidRPr="00C901F8">
        <w:rPr>
          <w:color w:val="auto"/>
        </w:rPr>
        <w:t xml:space="preserve">ers who </w:t>
      </w:r>
      <w:r w:rsidR="006F4912">
        <w:rPr>
          <w:color w:val="auto"/>
        </w:rPr>
        <w:t xml:space="preserve">would like </w:t>
      </w:r>
      <w:r w:rsidRPr="00C901F8">
        <w:rPr>
          <w:color w:val="auto"/>
        </w:rPr>
        <w:t xml:space="preserve">to know which policies have worked </w:t>
      </w:r>
      <w:r w:rsidRPr="00C901F8">
        <w:rPr>
          <w:color w:val="auto"/>
        </w:rPr>
        <w:lastRenderedPageBreak/>
        <w:t>best in which circumstances</w:t>
      </w:r>
      <w:r w:rsidR="006F4912">
        <w:rPr>
          <w:color w:val="auto"/>
        </w:rPr>
        <w:t xml:space="preserve">, </w:t>
      </w:r>
      <w:r w:rsidRPr="00C901F8">
        <w:rPr>
          <w:color w:val="auto"/>
        </w:rPr>
        <w:t xml:space="preserve">under what governance arrangements and </w:t>
      </w:r>
      <w:r w:rsidR="006E05DC">
        <w:rPr>
          <w:color w:val="auto"/>
        </w:rPr>
        <w:t>whether</w:t>
      </w:r>
      <w:r w:rsidR="006E05DC" w:rsidRPr="00C901F8">
        <w:rPr>
          <w:color w:val="auto"/>
        </w:rPr>
        <w:t xml:space="preserve"> </w:t>
      </w:r>
      <w:r w:rsidRPr="00C901F8">
        <w:rPr>
          <w:color w:val="auto"/>
        </w:rPr>
        <w:t>that experience is transferable to other contexts.</w:t>
      </w:r>
    </w:p>
    <w:p w14:paraId="73467008" w14:textId="77777777" w:rsidR="00040722" w:rsidRPr="00C901F8" w:rsidRDefault="00701400" w:rsidP="00AE59CD">
      <w:pPr>
        <w:pStyle w:val="Heading2"/>
      </w:pPr>
      <w:r w:rsidRPr="00C901F8">
        <w:t xml:space="preserve">Environmental </w:t>
      </w:r>
      <w:r w:rsidR="00883EA0" w:rsidRPr="00C901F8">
        <w:t xml:space="preserve">policy and </w:t>
      </w:r>
      <w:r w:rsidRPr="00C901F8">
        <w:t>governance</w:t>
      </w:r>
    </w:p>
    <w:p w14:paraId="7044E5F4" w14:textId="34B26D1C" w:rsidR="00040722" w:rsidRPr="00C901F8" w:rsidRDefault="00024BBE" w:rsidP="00566049">
      <w:pPr>
        <w:rPr>
          <w:color w:val="auto"/>
        </w:rPr>
      </w:pPr>
      <w:r w:rsidRPr="00C901F8">
        <w:rPr>
          <w:color w:val="auto"/>
        </w:rPr>
        <w:t xml:space="preserve">Environmental policies are </w:t>
      </w:r>
      <w:r w:rsidR="001912D3" w:rsidRPr="00C901F8">
        <w:rPr>
          <w:color w:val="auto"/>
        </w:rPr>
        <w:t xml:space="preserve">pursued through a multitude of modes of governance and </w:t>
      </w:r>
      <w:r w:rsidR="00701400" w:rsidRPr="00C901F8">
        <w:rPr>
          <w:color w:val="auto"/>
        </w:rPr>
        <w:t xml:space="preserve">are </w:t>
      </w:r>
      <w:r w:rsidRPr="00C901F8">
        <w:rPr>
          <w:color w:val="auto"/>
        </w:rPr>
        <w:t>designed to promote desirable behavio</w:t>
      </w:r>
      <w:r w:rsidR="00DC265C" w:rsidRPr="00C901F8">
        <w:rPr>
          <w:color w:val="auto"/>
        </w:rPr>
        <w:t>u</w:t>
      </w:r>
      <w:r w:rsidRPr="00C901F8">
        <w:rPr>
          <w:color w:val="auto"/>
        </w:rPr>
        <w:t>r</w:t>
      </w:r>
      <w:r w:rsidR="00DC265C" w:rsidRPr="00C901F8">
        <w:rPr>
          <w:color w:val="auto"/>
        </w:rPr>
        <w:t>s</w:t>
      </w:r>
      <w:r w:rsidRPr="00C901F8">
        <w:rPr>
          <w:color w:val="auto"/>
        </w:rPr>
        <w:t xml:space="preserve"> by a defined set of actors and to overcome a range of challenges that impede effective environmental management. </w:t>
      </w:r>
      <w:r w:rsidR="00DC265C" w:rsidRPr="00C901F8">
        <w:rPr>
          <w:color w:val="auto"/>
        </w:rPr>
        <w:t>Polic</w:t>
      </w:r>
      <w:r w:rsidR="00BE31FC" w:rsidRPr="00C901F8">
        <w:rPr>
          <w:color w:val="auto"/>
        </w:rPr>
        <w:t>y</w:t>
      </w:r>
      <w:r w:rsidR="00DC265C" w:rsidRPr="00C901F8">
        <w:rPr>
          <w:color w:val="auto"/>
        </w:rPr>
        <w:t xml:space="preserve"> </w:t>
      </w:r>
      <w:r w:rsidR="007309A0" w:rsidRPr="00C901F8">
        <w:rPr>
          <w:color w:val="auto"/>
        </w:rPr>
        <w:t xml:space="preserve">objectives </w:t>
      </w:r>
      <w:r w:rsidR="00DC265C" w:rsidRPr="00C901F8">
        <w:rPr>
          <w:color w:val="auto"/>
        </w:rPr>
        <w:t xml:space="preserve">are </w:t>
      </w:r>
      <w:r w:rsidR="007309A0" w:rsidRPr="00C901F8">
        <w:rPr>
          <w:color w:val="auto"/>
        </w:rPr>
        <w:t>to be achieved</w:t>
      </w:r>
      <w:r w:rsidR="00DC265C" w:rsidRPr="00C901F8">
        <w:rPr>
          <w:color w:val="auto"/>
        </w:rPr>
        <w:t xml:space="preserve"> via policy</w:t>
      </w:r>
      <w:r w:rsidR="006F1456" w:rsidRPr="00C901F8">
        <w:rPr>
          <w:color w:val="auto"/>
        </w:rPr>
        <w:t xml:space="preserve"> measures or</w:t>
      </w:r>
      <w:r w:rsidR="00DC265C" w:rsidRPr="00C901F8">
        <w:rPr>
          <w:color w:val="auto"/>
        </w:rPr>
        <w:t xml:space="preserve"> instruments</w:t>
      </w:r>
      <w:r w:rsidR="006E05DC">
        <w:rPr>
          <w:color w:val="auto"/>
        </w:rPr>
        <w:t xml:space="preserve"> – </w:t>
      </w:r>
      <w:r w:rsidR="00DC265C" w:rsidRPr="00C901F8">
        <w:rPr>
          <w:color w:val="auto"/>
        </w:rPr>
        <w:t xml:space="preserve">structured activities </w:t>
      </w:r>
      <w:r w:rsidR="006F1456" w:rsidRPr="00C901F8">
        <w:rPr>
          <w:color w:val="auto"/>
        </w:rPr>
        <w:t>targeted</w:t>
      </w:r>
      <w:r w:rsidR="00DC265C" w:rsidRPr="00C901F8">
        <w:rPr>
          <w:color w:val="auto"/>
        </w:rPr>
        <w:t xml:space="preserve"> at changing other activities in society towards </w:t>
      </w:r>
      <w:r w:rsidR="006F4912">
        <w:rPr>
          <w:color w:val="auto"/>
        </w:rPr>
        <w:t xml:space="preserve">achieving </w:t>
      </w:r>
      <w:r w:rsidR="00DC265C" w:rsidRPr="00C901F8">
        <w:rPr>
          <w:color w:val="auto"/>
        </w:rPr>
        <w:t xml:space="preserve">environmental goals. Not all </w:t>
      </w:r>
      <w:r w:rsidR="006F1456" w:rsidRPr="00C901F8">
        <w:rPr>
          <w:color w:val="auto"/>
        </w:rPr>
        <w:t xml:space="preserve">effective </w:t>
      </w:r>
      <w:r w:rsidR="00DC265C" w:rsidRPr="00C901F8">
        <w:rPr>
          <w:color w:val="auto"/>
        </w:rPr>
        <w:t>policy instruments are for environmental policy</w:t>
      </w:r>
      <w:r w:rsidR="006F1456" w:rsidRPr="00C901F8">
        <w:rPr>
          <w:color w:val="auto"/>
        </w:rPr>
        <w:t xml:space="preserve"> alone</w:t>
      </w:r>
      <w:r w:rsidR="00DC265C" w:rsidRPr="00C901F8">
        <w:rPr>
          <w:color w:val="auto"/>
        </w:rPr>
        <w:t xml:space="preserve">, other instruments </w:t>
      </w:r>
      <w:r w:rsidR="006E05DC">
        <w:rPr>
          <w:color w:val="auto"/>
        </w:rPr>
        <w:t>(e.g.</w:t>
      </w:r>
      <w:r w:rsidR="006E05DC" w:rsidRPr="00C901F8">
        <w:rPr>
          <w:color w:val="auto"/>
        </w:rPr>
        <w:t xml:space="preserve"> </w:t>
      </w:r>
      <w:r w:rsidR="006F1456" w:rsidRPr="00C901F8">
        <w:rPr>
          <w:color w:val="auto"/>
        </w:rPr>
        <w:t>in</w:t>
      </w:r>
      <w:r w:rsidR="00DC265C" w:rsidRPr="00C901F8">
        <w:rPr>
          <w:color w:val="auto"/>
        </w:rPr>
        <w:t xml:space="preserve"> energy and transport policy</w:t>
      </w:r>
      <w:r w:rsidR="006E05DC">
        <w:rPr>
          <w:color w:val="auto"/>
        </w:rPr>
        <w:t>)</w:t>
      </w:r>
      <w:r w:rsidR="00DC265C" w:rsidRPr="00C901F8">
        <w:rPr>
          <w:color w:val="auto"/>
        </w:rPr>
        <w:t xml:space="preserve"> may include environmental policy goals, </w:t>
      </w:r>
      <w:r w:rsidR="006F1456" w:rsidRPr="00C901F8">
        <w:rPr>
          <w:color w:val="auto"/>
        </w:rPr>
        <w:t xml:space="preserve">often </w:t>
      </w:r>
      <w:r w:rsidR="00DC265C" w:rsidRPr="00C901F8">
        <w:rPr>
          <w:color w:val="auto"/>
        </w:rPr>
        <w:t>as secondary goal</w:t>
      </w:r>
      <w:r w:rsidR="006F1456" w:rsidRPr="00C901F8">
        <w:rPr>
          <w:color w:val="auto"/>
        </w:rPr>
        <w:t>s</w:t>
      </w:r>
      <w:r w:rsidR="00DC265C" w:rsidRPr="00C901F8">
        <w:rPr>
          <w:color w:val="auto"/>
        </w:rPr>
        <w:t xml:space="preserve"> </w:t>
      </w:r>
      <w:r w:rsidR="006F1456" w:rsidRPr="00C901F8">
        <w:rPr>
          <w:color w:val="auto"/>
        </w:rPr>
        <w:t>to</w:t>
      </w:r>
      <w:r w:rsidR="00DC265C" w:rsidRPr="00C901F8">
        <w:rPr>
          <w:color w:val="auto"/>
        </w:rPr>
        <w:t xml:space="preserve"> the prime </w:t>
      </w:r>
      <w:r w:rsidR="00040722" w:rsidRPr="005E6BFA">
        <w:rPr>
          <w:color w:val="auto"/>
        </w:rPr>
        <w:t>non</w:t>
      </w:r>
      <w:r w:rsidR="00040722" w:rsidRPr="00B4619D">
        <w:rPr>
          <w:color w:val="auto"/>
        </w:rPr>
        <w:t>-</w:t>
      </w:r>
      <w:r w:rsidR="00DC265C" w:rsidRPr="00C901F8">
        <w:rPr>
          <w:color w:val="auto"/>
        </w:rPr>
        <w:t>environmental goal</w:t>
      </w:r>
      <w:r w:rsidR="00910BDA">
        <w:rPr>
          <w:color w:val="auto"/>
        </w:rPr>
        <w:t xml:space="preserve"> (e.g. reducing congestion)</w:t>
      </w:r>
      <w:r w:rsidR="00DC265C" w:rsidRPr="00C901F8">
        <w:rPr>
          <w:color w:val="auto"/>
        </w:rPr>
        <w:t xml:space="preserve">. This is the usual case now in most integrated policies </w:t>
      </w:r>
      <w:r w:rsidR="006E05DC">
        <w:rPr>
          <w:color w:val="auto"/>
        </w:rPr>
        <w:t>(</w:t>
      </w:r>
      <w:r w:rsidR="00BE31FC" w:rsidRPr="00C901F8">
        <w:rPr>
          <w:color w:val="auto"/>
        </w:rPr>
        <w:t>as</w:t>
      </w:r>
      <w:r w:rsidR="00DC265C" w:rsidRPr="00C901F8">
        <w:rPr>
          <w:color w:val="auto"/>
        </w:rPr>
        <w:t xml:space="preserve"> discussed in Chapter </w:t>
      </w:r>
      <w:r w:rsidR="00701400" w:rsidRPr="00C901F8">
        <w:rPr>
          <w:color w:val="auto"/>
        </w:rPr>
        <w:t>11</w:t>
      </w:r>
      <w:r w:rsidR="006E05DC">
        <w:rPr>
          <w:color w:val="auto"/>
        </w:rPr>
        <w:t>)</w:t>
      </w:r>
      <w:r w:rsidR="00DC265C" w:rsidRPr="00C901F8">
        <w:rPr>
          <w:color w:val="auto"/>
        </w:rPr>
        <w:t>.</w:t>
      </w:r>
      <w:r w:rsidR="00040722" w:rsidRPr="005E6BFA">
        <w:rPr>
          <w:color w:val="auto"/>
        </w:rPr>
        <w:t xml:space="preserve"> </w:t>
      </w:r>
      <w:r w:rsidR="00516C13" w:rsidRPr="00C901F8">
        <w:rPr>
          <w:color w:val="auto"/>
        </w:rPr>
        <w:t xml:space="preserve">Accordingly, environmental governance extends </w:t>
      </w:r>
      <w:r w:rsidR="00040722" w:rsidRPr="005E6BFA">
        <w:rPr>
          <w:color w:val="auto"/>
        </w:rPr>
        <w:t>well</w:t>
      </w:r>
      <w:r w:rsidR="00516C13" w:rsidRPr="00C901F8">
        <w:rPr>
          <w:color w:val="auto"/>
        </w:rPr>
        <w:t xml:space="preserve"> beyond environmental ministries.</w:t>
      </w:r>
    </w:p>
    <w:p w14:paraId="1E36B602" w14:textId="0B19A8CC" w:rsidR="00040722" w:rsidRPr="00C901F8" w:rsidRDefault="006A6B29" w:rsidP="00566049">
      <w:pPr>
        <w:rPr>
          <w:color w:val="auto"/>
        </w:rPr>
      </w:pPr>
      <w:r w:rsidRPr="00C901F8">
        <w:rPr>
          <w:color w:val="auto"/>
        </w:rPr>
        <w:t xml:space="preserve">Governments are often thought of as the primary domain for </w:t>
      </w:r>
      <w:r w:rsidR="00314388">
        <w:rPr>
          <w:color w:val="auto"/>
        </w:rPr>
        <w:t xml:space="preserve">development and implementation of </w:t>
      </w:r>
      <w:r w:rsidRPr="00C901F8">
        <w:rPr>
          <w:color w:val="auto"/>
        </w:rPr>
        <w:t>policies. While governments are often the most important actors in formulating, implementing and enforcing policy instru</w:t>
      </w:r>
      <w:r w:rsidR="00B821F5" w:rsidRPr="00C901F8">
        <w:rPr>
          <w:color w:val="auto"/>
        </w:rPr>
        <w:t xml:space="preserve">ments, they do not act alone, and various governance arrangements are needed. </w:t>
      </w:r>
      <w:r w:rsidRPr="00C901F8">
        <w:rPr>
          <w:color w:val="auto"/>
        </w:rPr>
        <w:t xml:space="preserve">Effective policies usually involve a wide range of stakeholder inputs </w:t>
      </w:r>
      <w:r w:rsidR="006F1456" w:rsidRPr="00C901F8">
        <w:rPr>
          <w:color w:val="auto"/>
        </w:rPr>
        <w:t>throughout the</w:t>
      </w:r>
      <w:r w:rsidRPr="00C901F8">
        <w:rPr>
          <w:color w:val="auto"/>
        </w:rPr>
        <w:t xml:space="preserve"> policy cycle. Governments at all levels are active in policy formulation and implementation, as are priva</w:t>
      </w:r>
      <w:r w:rsidR="00B821F5" w:rsidRPr="00C901F8">
        <w:rPr>
          <w:color w:val="auto"/>
        </w:rPr>
        <w:t xml:space="preserve">te sector and </w:t>
      </w:r>
      <w:r w:rsidR="00314388">
        <w:rPr>
          <w:color w:val="auto"/>
        </w:rPr>
        <w:t xml:space="preserve">civil society </w:t>
      </w:r>
      <w:r w:rsidR="00B821F5" w:rsidRPr="00C901F8">
        <w:rPr>
          <w:color w:val="auto"/>
        </w:rPr>
        <w:t xml:space="preserve">actors. Roles and responsibilities are spread not only between governmental and </w:t>
      </w:r>
      <w:r w:rsidR="00040722" w:rsidRPr="005E6BFA">
        <w:rPr>
          <w:color w:val="auto"/>
        </w:rPr>
        <w:t>non-</w:t>
      </w:r>
      <w:r w:rsidR="00B821F5" w:rsidRPr="00C901F8">
        <w:rPr>
          <w:color w:val="auto"/>
        </w:rPr>
        <w:t>governmental institutions, but also across all levels of governance.</w:t>
      </w:r>
    </w:p>
    <w:p w14:paraId="33F121A6" w14:textId="68EF8683" w:rsidR="00040722" w:rsidRPr="00C901F8" w:rsidRDefault="006A6B29" w:rsidP="00566049">
      <w:pPr>
        <w:rPr>
          <w:color w:val="auto"/>
        </w:rPr>
      </w:pPr>
      <w:r w:rsidRPr="00C901F8">
        <w:rPr>
          <w:color w:val="auto"/>
        </w:rPr>
        <w:t xml:space="preserve">Politicians, policy think tanks, education and research institutions, </w:t>
      </w:r>
      <w:r w:rsidR="008C0B1F">
        <w:rPr>
          <w:color w:val="auto"/>
        </w:rPr>
        <w:t>non-governmental organizations (</w:t>
      </w:r>
      <w:r w:rsidRPr="00C901F8">
        <w:rPr>
          <w:color w:val="auto"/>
        </w:rPr>
        <w:t>NGOs</w:t>
      </w:r>
      <w:r w:rsidR="008C0B1F">
        <w:rPr>
          <w:color w:val="auto"/>
        </w:rPr>
        <w:t>)</w:t>
      </w:r>
      <w:r w:rsidRPr="00C901F8">
        <w:rPr>
          <w:color w:val="auto"/>
        </w:rPr>
        <w:t xml:space="preserve">, </w:t>
      </w:r>
      <w:r w:rsidR="002C36F3" w:rsidRPr="00C901F8">
        <w:rPr>
          <w:color w:val="auto"/>
        </w:rPr>
        <w:t>civil society organizations (</w:t>
      </w:r>
      <w:r w:rsidRPr="00C901F8">
        <w:rPr>
          <w:color w:val="auto"/>
        </w:rPr>
        <w:t>CSOs</w:t>
      </w:r>
      <w:r w:rsidR="002C36F3" w:rsidRPr="00C901F8">
        <w:rPr>
          <w:color w:val="auto"/>
        </w:rPr>
        <w:t>)</w:t>
      </w:r>
      <w:r w:rsidRPr="00C901F8">
        <w:rPr>
          <w:color w:val="auto"/>
        </w:rPr>
        <w:t xml:space="preserve">, lobbyists, communities and companies all have roles to play in influencing policy outcomes in different contexts. </w:t>
      </w:r>
      <w:r w:rsidR="00516C13" w:rsidRPr="00C901F8">
        <w:rPr>
          <w:color w:val="auto"/>
        </w:rPr>
        <w:t>A</w:t>
      </w:r>
      <w:r w:rsidRPr="00C901F8">
        <w:rPr>
          <w:color w:val="auto"/>
        </w:rPr>
        <w:t xml:space="preserve">t the regional and global levels, policy instruments are created and implemented by global, regional or national institutions in </w:t>
      </w:r>
      <w:proofErr w:type="spellStart"/>
      <w:r w:rsidR="00040722" w:rsidRPr="005E6BFA">
        <w:rPr>
          <w:color w:val="auto"/>
        </w:rPr>
        <w:t>multilayer</w:t>
      </w:r>
      <w:r w:rsidRPr="00C901F8">
        <w:rPr>
          <w:color w:val="auto"/>
        </w:rPr>
        <w:t>ed</w:t>
      </w:r>
      <w:proofErr w:type="spellEnd"/>
      <w:r w:rsidRPr="00C901F8">
        <w:rPr>
          <w:color w:val="auto"/>
        </w:rPr>
        <w:t xml:space="preserve"> governance arrangements. </w:t>
      </w:r>
      <w:r w:rsidR="00516C13" w:rsidRPr="00C901F8">
        <w:rPr>
          <w:color w:val="auto"/>
        </w:rPr>
        <w:t xml:space="preserve">There </w:t>
      </w:r>
      <w:r w:rsidR="00314388">
        <w:rPr>
          <w:color w:val="auto"/>
        </w:rPr>
        <w:t>are</w:t>
      </w:r>
      <w:r w:rsidR="00516C13" w:rsidRPr="00C901F8">
        <w:rPr>
          <w:color w:val="auto"/>
        </w:rPr>
        <w:t xml:space="preserve"> also a growing number of </w:t>
      </w:r>
      <w:r w:rsidR="00040722" w:rsidRPr="00C901F8">
        <w:rPr>
          <w:color w:val="auto"/>
        </w:rPr>
        <w:t>‘</w:t>
      </w:r>
      <w:r w:rsidR="00516C13" w:rsidRPr="00C901F8">
        <w:rPr>
          <w:color w:val="auto"/>
        </w:rPr>
        <w:t>public-private partnerships</w:t>
      </w:r>
      <w:r w:rsidR="00040722" w:rsidRPr="00C901F8">
        <w:rPr>
          <w:color w:val="auto"/>
        </w:rPr>
        <w:t>’</w:t>
      </w:r>
      <w:r w:rsidR="00516C13" w:rsidRPr="00C901F8">
        <w:rPr>
          <w:color w:val="auto"/>
        </w:rPr>
        <w:t xml:space="preserve"> and </w:t>
      </w:r>
      <w:r w:rsidR="00040722" w:rsidRPr="00C901F8">
        <w:rPr>
          <w:color w:val="auto"/>
        </w:rPr>
        <w:t>‘</w:t>
      </w:r>
      <w:r w:rsidR="00516C13" w:rsidRPr="00C901F8">
        <w:rPr>
          <w:color w:val="auto"/>
        </w:rPr>
        <w:t>corporate sustainability initiatives</w:t>
      </w:r>
      <w:r w:rsidR="00040722" w:rsidRPr="00C901F8">
        <w:rPr>
          <w:color w:val="auto"/>
        </w:rPr>
        <w:t>’</w:t>
      </w:r>
      <w:r w:rsidR="00516C13" w:rsidRPr="00C901F8">
        <w:rPr>
          <w:color w:val="auto"/>
        </w:rPr>
        <w:t xml:space="preserve">, including the emergence of </w:t>
      </w:r>
      <w:r w:rsidR="00040722" w:rsidRPr="00C901F8">
        <w:rPr>
          <w:color w:val="auto"/>
        </w:rPr>
        <w:t>‘</w:t>
      </w:r>
      <w:r w:rsidR="00516C13" w:rsidRPr="00C901F8">
        <w:rPr>
          <w:color w:val="auto"/>
        </w:rPr>
        <w:t>business-NGO interactions</w:t>
      </w:r>
      <w:r w:rsidR="00040722" w:rsidRPr="00C901F8">
        <w:rPr>
          <w:color w:val="auto"/>
        </w:rPr>
        <w:t>’</w:t>
      </w:r>
      <w:r w:rsidR="00516C13" w:rsidRPr="00C901F8">
        <w:rPr>
          <w:color w:val="auto"/>
        </w:rPr>
        <w:t xml:space="preserve"> aimed at stimulating responsible </w:t>
      </w:r>
      <w:r w:rsidR="00314388">
        <w:rPr>
          <w:color w:val="auto"/>
        </w:rPr>
        <w:t xml:space="preserve">and </w:t>
      </w:r>
      <w:r w:rsidR="00516C13" w:rsidRPr="00C901F8">
        <w:rPr>
          <w:color w:val="auto"/>
        </w:rPr>
        <w:t>sustainable behaviour in specific sectors (</w:t>
      </w:r>
      <w:r w:rsidR="00516C13" w:rsidRPr="005E6BFA">
        <w:rPr>
          <w:color w:val="auto"/>
        </w:rPr>
        <w:t xml:space="preserve">Forsyth </w:t>
      </w:r>
      <w:r w:rsidR="00040722" w:rsidRPr="005E6BFA">
        <w:rPr>
          <w:color w:val="auto"/>
        </w:rPr>
        <w:t>2005</w:t>
      </w:r>
      <w:r w:rsidR="00516C13" w:rsidRPr="00C901F8">
        <w:rPr>
          <w:color w:val="auto"/>
        </w:rPr>
        <w:t xml:space="preserve">; </w:t>
      </w:r>
      <w:r w:rsidR="00516C13" w:rsidRPr="005E6BFA">
        <w:rPr>
          <w:color w:val="auto"/>
        </w:rPr>
        <w:t xml:space="preserve">van </w:t>
      </w:r>
      <w:proofErr w:type="spellStart"/>
      <w:r w:rsidR="00516C13" w:rsidRPr="005E6BFA">
        <w:rPr>
          <w:color w:val="auto"/>
        </w:rPr>
        <w:t>Tulder</w:t>
      </w:r>
      <w:proofErr w:type="spellEnd"/>
      <w:r w:rsidR="00516C13" w:rsidRPr="005E6BFA">
        <w:rPr>
          <w:color w:val="auto"/>
        </w:rPr>
        <w:t xml:space="preserve"> </w:t>
      </w:r>
      <w:r w:rsidR="00516C13" w:rsidRPr="005E6BFA">
        <w:rPr>
          <w:i/>
          <w:color w:val="auto"/>
        </w:rPr>
        <w:t>et al.</w:t>
      </w:r>
      <w:r w:rsidR="00516C13" w:rsidRPr="005E6BFA">
        <w:rPr>
          <w:color w:val="auto"/>
        </w:rPr>
        <w:t xml:space="preserve"> </w:t>
      </w:r>
      <w:r w:rsidR="00040722" w:rsidRPr="005E6BFA">
        <w:rPr>
          <w:color w:val="auto"/>
        </w:rPr>
        <w:t>2016</w:t>
      </w:r>
      <w:r w:rsidR="00516C13" w:rsidRPr="00C901F8">
        <w:rPr>
          <w:color w:val="auto"/>
        </w:rPr>
        <w:t>)</w:t>
      </w:r>
      <w:r w:rsidR="00F44B0B" w:rsidRPr="00C901F8">
        <w:rPr>
          <w:color w:val="auto"/>
        </w:rPr>
        <w:t>. Such partnerships (</w:t>
      </w:r>
      <w:r w:rsidR="00922F5F" w:rsidRPr="00C901F8">
        <w:rPr>
          <w:color w:val="auto"/>
        </w:rPr>
        <w:t>e.g.</w:t>
      </w:r>
      <w:r w:rsidR="00F44B0B" w:rsidRPr="00C901F8">
        <w:rPr>
          <w:color w:val="auto"/>
        </w:rPr>
        <w:t xml:space="preserve"> UN Environment</w:t>
      </w:r>
      <w:r w:rsidR="00040722" w:rsidRPr="00C901F8">
        <w:rPr>
          <w:color w:val="auto"/>
        </w:rPr>
        <w:t>’</w:t>
      </w:r>
      <w:r w:rsidR="00F44B0B" w:rsidRPr="00C901F8">
        <w:rPr>
          <w:color w:val="auto"/>
        </w:rPr>
        <w:t xml:space="preserve">s Clean Seas Initiative) emerged in </w:t>
      </w:r>
      <w:r w:rsidR="004F2DE7" w:rsidRPr="00C901F8">
        <w:rPr>
          <w:color w:val="auto"/>
        </w:rPr>
        <w:t xml:space="preserve">the design and production of goods, risk assessments, due </w:t>
      </w:r>
      <w:r w:rsidR="00F44B0B" w:rsidRPr="00C901F8">
        <w:rPr>
          <w:color w:val="auto"/>
        </w:rPr>
        <w:t>diligence</w:t>
      </w:r>
      <w:r w:rsidR="004F2DE7" w:rsidRPr="00C901F8">
        <w:rPr>
          <w:color w:val="auto"/>
        </w:rPr>
        <w:t>, training, monitoring, reporting and mediation,</w:t>
      </w:r>
      <w:r w:rsidR="00F44B0B" w:rsidRPr="00C901F8">
        <w:rPr>
          <w:color w:val="auto"/>
        </w:rPr>
        <w:t xml:space="preserve"> transparency in supply chains </w:t>
      </w:r>
      <w:r w:rsidR="008C0B1F">
        <w:rPr>
          <w:color w:val="auto"/>
        </w:rPr>
        <w:t>and more</w:t>
      </w:r>
      <w:r w:rsidR="00516C13" w:rsidRPr="00C901F8">
        <w:rPr>
          <w:color w:val="auto"/>
        </w:rPr>
        <w:t>.</w:t>
      </w:r>
      <w:r w:rsidR="0054769C" w:rsidRPr="00C901F8">
        <w:rPr>
          <w:color w:val="auto"/>
        </w:rPr>
        <w:t xml:space="preserve"> In many countries, citizens and communities are</w:t>
      </w:r>
      <w:r w:rsidR="00FF23F9" w:rsidRPr="00C901F8">
        <w:rPr>
          <w:color w:val="auto"/>
        </w:rPr>
        <w:t xml:space="preserve"> also</w:t>
      </w:r>
      <w:r w:rsidR="0054769C" w:rsidRPr="00C901F8">
        <w:rPr>
          <w:color w:val="auto"/>
        </w:rPr>
        <w:t xml:space="preserve"> contribut</w:t>
      </w:r>
      <w:r w:rsidR="00FF23F9" w:rsidRPr="00C901F8">
        <w:rPr>
          <w:color w:val="auto"/>
        </w:rPr>
        <w:t>ing</w:t>
      </w:r>
      <w:r w:rsidR="0054769C" w:rsidRPr="00C901F8">
        <w:rPr>
          <w:color w:val="auto"/>
        </w:rPr>
        <w:t xml:space="preserve"> to the realization of collective environmental goals</w:t>
      </w:r>
      <w:r w:rsidR="00FF23F9" w:rsidRPr="00C901F8">
        <w:rPr>
          <w:color w:val="auto"/>
        </w:rPr>
        <w:t xml:space="preserve">. </w:t>
      </w:r>
      <w:r w:rsidR="0054769C" w:rsidRPr="00C901F8">
        <w:rPr>
          <w:color w:val="auto"/>
        </w:rPr>
        <w:t>Th</w:t>
      </w:r>
      <w:r w:rsidR="00314388">
        <w:rPr>
          <w:color w:val="auto"/>
        </w:rPr>
        <w:t>ese are</w:t>
      </w:r>
      <w:r w:rsidR="0054769C" w:rsidRPr="00C901F8">
        <w:rPr>
          <w:color w:val="auto"/>
        </w:rPr>
        <w:t xml:space="preserve"> often framed as </w:t>
      </w:r>
      <w:r w:rsidR="00040722" w:rsidRPr="00C901F8">
        <w:rPr>
          <w:color w:val="auto"/>
        </w:rPr>
        <w:t>‘</w:t>
      </w:r>
      <w:r w:rsidR="0054769C" w:rsidRPr="00C901F8">
        <w:rPr>
          <w:color w:val="auto"/>
        </w:rPr>
        <w:t>citizen co-production</w:t>
      </w:r>
      <w:r w:rsidR="00040722" w:rsidRPr="00C901F8">
        <w:rPr>
          <w:color w:val="auto"/>
        </w:rPr>
        <w:t>’</w:t>
      </w:r>
      <w:r w:rsidR="0054769C" w:rsidRPr="00C901F8">
        <w:rPr>
          <w:color w:val="auto"/>
        </w:rPr>
        <w:t xml:space="preserve"> and/or </w:t>
      </w:r>
      <w:r w:rsidR="00040722" w:rsidRPr="00C901F8">
        <w:rPr>
          <w:color w:val="auto"/>
        </w:rPr>
        <w:t>‘</w:t>
      </w:r>
      <w:r w:rsidR="0054769C" w:rsidRPr="00C901F8">
        <w:rPr>
          <w:color w:val="auto"/>
        </w:rPr>
        <w:t>community-based initiatives</w:t>
      </w:r>
      <w:r w:rsidR="00040722" w:rsidRPr="00C901F8">
        <w:rPr>
          <w:color w:val="auto"/>
        </w:rPr>
        <w:t>’</w:t>
      </w:r>
      <w:r w:rsidR="0054769C" w:rsidRPr="00C901F8">
        <w:rPr>
          <w:color w:val="auto"/>
        </w:rPr>
        <w:t xml:space="preserve"> </w:t>
      </w:r>
      <w:r w:rsidR="0054769C" w:rsidRPr="005E6BFA">
        <w:rPr>
          <w:color w:val="auto"/>
        </w:rPr>
        <w:t>(</w:t>
      </w:r>
      <w:proofErr w:type="spellStart"/>
      <w:r w:rsidR="0054769C" w:rsidRPr="005E6BFA">
        <w:rPr>
          <w:color w:val="auto"/>
        </w:rPr>
        <w:t>Mees</w:t>
      </w:r>
      <w:proofErr w:type="spellEnd"/>
      <w:r w:rsidR="0054769C" w:rsidRPr="005E6BFA">
        <w:rPr>
          <w:color w:val="auto"/>
        </w:rPr>
        <w:t xml:space="preserve">, </w:t>
      </w:r>
      <w:proofErr w:type="spellStart"/>
      <w:r w:rsidR="0054769C" w:rsidRPr="005E6BFA">
        <w:rPr>
          <w:color w:val="auto"/>
        </w:rPr>
        <w:t>Crabbé</w:t>
      </w:r>
      <w:proofErr w:type="spellEnd"/>
      <w:r w:rsidR="0054769C" w:rsidRPr="005E6BFA">
        <w:rPr>
          <w:color w:val="auto"/>
        </w:rPr>
        <w:t xml:space="preserve"> and Driessen </w:t>
      </w:r>
      <w:r w:rsidR="00040722" w:rsidRPr="005E6BFA">
        <w:rPr>
          <w:color w:val="auto"/>
        </w:rPr>
        <w:t>2017</w:t>
      </w:r>
      <w:r w:rsidR="0054769C" w:rsidRPr="005E6BFA">
        <w:rPr>
          <w:color w:val="auto"/>
        </w:rPr>
        <w:t>)</w:t>
      </w:r>
      <w:r w:rsidR="0054769C" w:rsidRPr="00C901F8">
        <w:rPr>
          <w:color w:val="auto"/>
        </w:rPr>
        <w:t>.</w:t>
      </w:r>
    </w:p>
    <w:p w14:paraId="44A4BC9D" w14:textId="77777777" w:rsidR="00040722" w:rsidRPr="00C901F8" w:rsidRDefault="006A6B29" w:rsidP="00566049">
      <w:pPr>
        <w:rPr>
          <w:color w:val="auto"/>
        </w:rPr>
      </w:pPr>
      <w:r w:rsidRPr="00C901F8">
        <w:rPr>
          <w:color w:val="auto"/>
        </w:rPr>
        <w:t xml:space="preserve">The challenge is for all these actors, layers and levels to mesh </w:t>
      </w:r>
      <w:r w:rsidR="00040722" w:rsidRPr="00B4619D">
        <w:rPr>
          <w:color w:val="auto"/>
        </w:rPr>
        <w:t>together</w:t>
      </w:r>
      <w:r w:rsidRPr="00C901F8">
        <w:rPr>
          <w:color w:val="auto"/>
        </w:rPr>
        <w:t xml:space="preserve"> and provide a coherent mix of policies appropriate for the scale and period of application and consistent with the national social, cultural, historical and political context (</w:t>
      </w:r>
      <w:r w:rsidR="00765DAD" w:rsidRPr="005E6BFA">
        <w:rPr>
          <w:color w:val="auto"/>
        </w:rPr>
        <w:t>European Environment Agency [EEA] 2001</w:t>
      </w:r>
      <w:r w:rsidR="00883EA0" w:rsidRPr="005E6BFA">
        <w:rPr>
          <w:color w:val="auto"/>
        </w:rPr>
        <w:t>a</w:t>
      </w:r>
      <w:r w:rsidR="00765DAD" w:rsidRPr="005E6BFA">
        <w:rPr>
          <w:color w:val="auto"/>
        </w:rPr>
        <w:t>; EEA 2001b</w:t>
      </w:r>
      <w:r w:rsidR="00883EA0" w:rsidRPr="00C901F8">
        <w:rPr>
          <w:color w:val="auto"/>
        </w:rPr>
        <w:t xml:space="preserve">; </w:t>
      </w:r>
      <w:r w:rsidR="00765DAD" w:rsidRPr="005E6BFA">
        <w:rPr>
          <w:color w:val="auto"/>
        </w:rPr>
        <w:t>European Commission [EC]</w:t>
      </w:r>
      <w:r w:rsidR="00CE34DF" w:rsidRPr="005E6BFA">
        <w:rPr>
          <w:color w:val="auto"/>
        </w:rPr>
        <w:t xml:space="preserve"> </w:t>
      </w:r>
      <w:r w:rsidR="00040722" w:rsidRPr="005E6BFA">
        <w:rPr>
          <w:color w:val="auto"/>
        </w:rPr>
        <w:t>2012</w:t>
      </w:r>
      <w:r w:rsidRPr="00C901F8">
        <w:rPr>
          <w:color w:val="auto"/>
        </w:rPr>
        <w:t xml:space="preserve">; </w:t>
      </w:r>
      <w:r w:rsidRPr="005E6BFA">
        <w:rPr>
          <w:color w:val="auto"/>
        </w:rPr>
        <w:t xml:space="preserve">Niles </w:t>
      </w:r>
      <w:r w:rsidRPr="005E6BFA">
        <w:rPr>
          <w:color w:val="auto"/>
        </w:rPr>
        <w:lastRenderedPageBreak/>
        <w:t xml:space="preserve">and </w:t>
      </w:r>
      <w:proofErr w:type="spellStart"/>
      <w:r w:rsidRPr="00FB788D">
        <w:rPr>
          <w:color w:val="auto"/>
        </w:rPr>
        <w:t>Lubell</w:t>
      </w:r>
      <w:proofErr w:type="spellEnd"/>
      <w:r w:rsidRPr="00FB788D">
        <w:rPr>
          <w:color w:val="auto"/>
        </w:rPr>
        <w:t xml:space="preserve"> </w:t>
      </w:r>
      <w:r w:rsidR="00040722" w:rsidRPr="00FB788D">
        <w:rPr>
          <w:color w:val="auto"/>
        </w:rPr>
        <w:t>2012</w:t>
      </w:r>
      <w:r w:rsidR="00061DCC" w:rsidRPr="00766798">
        <w:rPr>
          <w:color w:val="auto"/>
        </w:rPr>
        <w:t>; EEA 2017</w:t>
      </w:r>
      <w:r w:rsidRPr="00FB788D">
        <w:rPr>
          <w:color w:val="auto"/>
        </w:rPr>
        <w:t>).</w:t>
      </w:r>
    </w:p>
    <w:p w14:paraId="7EE4AEAB" w14:textId="340718D0" w:rsidR="00040722" w:rsidRPr="00C901F8" w:rsidRDefault="006A6B29" w:rsidP="00566049">
      <w:pPr>
        <w:rPr>
          <w:color w:val="auto"/>
        </w:rPr>
      </w:pPr>
      <w:r w:rsidRPr="00C901F8">
        <w:rPr>
          <w:color w:val="auto"/>
        </w:rPr>
        <w:t>Polycentric governance is a source of innovation and</w:t>
      </w:r>
      <w:r w:rsidR="008C0B1F">
        <w:rPr>
          <w:color w:val="auto"/>
        </w:rPr>
        <w:t>,</w:t>
      </w:r>
      <w:r w:rsidRPr="00C901F8">
        <w:rPr>
          <w:color w:val="auto"/>
        </w:rPr>
        <w:t xml:space="preserve"> by enabling </w:t>
      </w:r>
      <w:r w:rsidR="00314388">
        <w:rPr>
          <w:color w:val="auto"/>
        </w:rPr>
        <w:t xml:space="preserve">the </w:t>
      </w:r>
      <w:r w:rsidRPr="00C901F8">
        <w:rPr>
          <w:color w:val="auto"/>
        </w:rPr>
        <w:t xml:space="preserve">competition of ideas, </w:t>
      </w:r>
      <w:r w:rsidR="00040722" w:rsidRPr="00B4619D">
        <w:rPr>
          <w:color w:val="auto"/>
        </w:rPr>
        <w:t>collaborat</w:t>
      </w:r>
      <w:r w:rsidRPr="00C901F8">
        <w:rPr>
          <w:color w:val="auto"/>
        </w:rPr>
        <w:t>ion and alignment</w:t>
      </w:r>
      <w:r w:rsidR="00BE31FC" w:rsidRPr="00C901F8">
        <w:rPr>
          <w:color w:val="auto"/>
        </w:rPr>
        <w:t>,</w:t>
      </w:r>
      <w:r w:rsidRPr="00C901F8">
        <w:rPr>
          <w:color w:val="auto"/>
        </w:rPr>
        <w:t xml:space="preserve"> it creates momentum for environmental policies (</w:t>
      </w:r>
      <w:r w:rsidRPr="005E6BFA">
        <w:rPr>
          <w:color w:val="auto"/>
        </w:rPr>
        <w:t xml:space="preserve">Jordan and </w:t>
      </w:r>
      <w:proofErr w:type="spellStart"/>
      <w:r w:rsidRPr="005E6BFA">
        <w:rPr>
          <w:color w:val="auto"/>
        </w:rPr>
        <w:t>Huitema</w:t>
      </w:r>
      <w:proofErr w:type="spellEnd"/>
      <w:r w:rsidRPr="005E6BFA">
        <w:rPr>
          <w:color w:val="auto"/>
        </w:rPr>
        <w:t xml:space="preserve"> </w:t>
      </w:r>
      <w:r w:rsidR="00040722" w:rsidRPr="005E6BFA">
        <w:rPr>
          <w:color w:val="auto"/>
        </w:rPr>
        <w:t>2014</w:t>
      </w:r>
      <w:r w:rsidRPr="00C901F8">
        <w:rPr>
          <w:color w:val="auto"/>
        </w:rPr>
        <w:t>). However, dispersion of responsibility may lead to fragmented policies</w:t>
      </w:r>
      <w:r w:rsidR="00AB792B" w:rsidRPr="00C901F8">
        <w:rPr>
          <w:color w:val="auto"/>
        </w:rPr>
        <w:t>, poor</w:t>
      </w:r>
      <w:r w:rsidR="00040722" w:rsidRPr="005E6BFA">
        <w:rPr>
          <w:color w:val="auto"/>
        </w:rPr>
        <w:t xml:space="preserve">ly </w:t>
      </w:r>
      <w:r w:rsidR="00AB792B" w:rsidRPr="00C901F8">
        <w:rPr>
          <w:color w:val="auto"/>
        </w:rPr>
        <w:t xml:space="preserve">defined roles and responsibilities, weak </w:t>
      </w:r>
      <w:r w:rsidR="00040722" w:rsidRPr="005E6BFA">
        <w:rPr>
          <w:color w:val="auto"/>
        </w:rPr>
        <w:t>follow-up</w:t>
      </w:r>
      <w:r w:rsidR="00AB792B" w:rsidRPr="00C901F8">
        <w:rPr>
          <w:color w:val="auto"/>
        </w:rPr>
        <w:t xml:space="preserve"> and monitoring mechanisms, lack of accountability for results </w:t>
      </w:r>
      <w:r w:rsidRPr="00C901F8">
        <w:rPr>
          <w:color w:val="auto"/>
        </w:rPr>
        <w:t xml:space="preserve">or a stalemate in </w:t>
      </w:r>
      <w:r w:rsidR="00040722" w:rsidRPr="005E6BFA">
        <w:rPr>
          <w:color w:val="auto"/>
        </w:rPr>
        <w:t>decision-making</w:t>
      </w:r>
      <w:r w:rsidRPr="00C901F8">
        <w:rPr>
          <w:color w:val="auto"/>
        </w:rPr>
        <w:t>.</w:t>
      </w:r>
    </w:p>
    <w:p w14:paraId="260DDBF2" w14:textId="77777777" w:rsidR="00040722" w:rsidRPr="00C901F8" w:rsidRDefault="00516C13" w:rsidP="00AE59CD">
      <w:pPr>
        <w:pStyle w:val="Heading2"/>
      </w:pPr>
      <w:r w:rsidRPr="00C901F8">
        <w:t>Policy instruments</w:t>
      </w:r>
    </w:p>
    <w:p w14:paraId="7E9E070E" w14:textId="48083DCF" w:rsidR="00314388" w:rsidRDefault="00024BBE" w:rsidP="00EA1C3A">
      <w:pPr>
        <w:rPr>
          <w:color w:val="auto"/>
        </w:rPr>
      </w:pPr>
      <w:r w:rsidRPr="00C901F8">
        <w:rPr>
          <w:color w:val="auto"/>
        </w:rPr>
        <w:t>Policy instruments come in multiple forms</w:t>
      </w:r>
      <w:r w:rsidR="00DF0720" w:rsidRPr="00C901F8">
        <w:rPr>
          <w:color w:val="auto"/>
        </w:rPr>
        <w:t xml:space="preserve"> </w:t>
      </w:r>
      <w:r w:rsidR="008C0B1F">
        <w:rPr>
          <w:color w:val="auto"/>
        </w:rPr>
        <w:t xml:space="preserve">and </w:t>
      </w:r>
      <w:r w:rsidRPr="00C901F8">
        <w:rPr>
          <w:color w:val="auto"/>
        </w:rPr>
        <w:t>can be implemented by multiple actors (not only governments) at multiple levels of governance (</w:t>
      </w:r>
      <w:proofErr w:type="spellStart"/>
      <w:r w:rsidRPr="005E6BFA">
        <w:rPr>
          <w:color w:val="auto"/>
        </w:rPr>
        <w:t>Mees</w:t>
      </w:r>
      <w:proofErr w:type="spellEnd"/>
      <w:r w:rsidRPr="005E6BFA">
        <w:rPr>
          <w:color w:val="auto"/>
        </w:rPr>
        <w:t xml:space="preserve"> </w:t>
      </w:r>
      <w:r w:rsidRPr="005E6BFA">
        <w:rPr>
          <w:i/>
          <w:color w:val="auto"/>
        </w:rPr>
        <w:t>et al.</w:t>
      </w:r>
      <w:r w:rsidRPr="005E6BFA">
        <w:rPr>
          <w:color w:val="auto"/>
        </w:rPr>
        <w:t xml:space="preserve"> </w:t>
      </w:r>
      <w:r w:rsidR="00040722" w:rsidRPr="005E6BFA">
        <w:rPr>
          <w:color w:val="auto"/>
        </w:rPr>
        <w:t>2014</w:t>
      </w:r>
      <w:r w:rsidR="00BE31FC" w:rsidRPr="00C901F8">
        <w:rPr>
          <w:color w:val="auto"/>
        </w:rPr>
        <w:t>;</w:t>
      </w:r>
      <w:r w:rsidRPr="00C901F8">
        <w:rPr>
          <w:color w:val="auto"/>
        </w:rPr>
        <w:t xml:space="preserve"> </w:t>
      </w:r>
      <w:proofErr w:type="spellStart"/>
      <w:r w:rsidRPr="005E6BFA">
        <w:rPr>
          <w:color w:val="auto"/>
        </w:rPr>
        <w:t>Keskitalo</w:t>
      </w:r>
      <w:proofErr w:type="spellEnd"/>
      <w:r w:rsidRPr="005E6BFA">
        <w:rPr>
          <w:color w:val="auto"/>
        </w:rPr>
        <w:t xml:space="preserve"> </w:t>
      </w:r>
      <w:r w:rsidRPr="005E6BFA">
        <w:rPr>
          <w:i/>
          <w:color w:val="auto"/>
        </w:rPr>
        <w:t>et al.</w:t>
      </w:r>
      <w:r w:rsidRPr="005E6BFA">
        <w:rPr>
          <w:color w:val="auto"/>
        </w:rPr>
        <w:t xml:space="preserve"> </w:t>
      </w:r>
      <w:r w:rsidR="00040722" w:rsidRPr="005E6BFA">
        <w:rPr>
          <w:color w:val="auto"/>
        </w:rPr>
        <w:t>2016</w:t>
      </w:r>
      <w:r w:rsidRPr="00C901F8">
        <w:rPr>
          <w:color w:val="auto"/>
        </w:rPr>
        <w:t>)</w:t>
      </w:r>
      <w:r w:rsidR="00D774F9" w:rsidRPr="00C901F8">
        <w:rPr>
          <w:color w:val="auto"/>
        </w:rPr>
        <w:t xml:space="preserve">. Policy instruments </w:t>
      </w:r>
      <w:r w:rsidR="00BE31FC" w:rsidRPr="00C901F8">
        <w:rPr>
          <w:color w:val="auto"/>
        </w:rPr>
        <w:t xml:space="preserve">can </w:t>
      </w:r>
      <w:r w:rsidR="00DF0720" w:rsidRPr="00C901F8">
        <w:rPr>
          <w:color w:val="auto"/>
        </w:rPr>
        <w:t xml:space="preserve">be aimed at various mechanisms: </w:t>
      </w:r>
    </w:p>
    <w:p w14:paraId="54C780C1" w14:textId="24B5CC81" w:rsidR="00314388" w:rsidRDefault="00DF0720" w:rsidP="00314388">
      <w:pPr>
        <w:pStyle w:val="ListParagraph"/>
        <w:numPr>
          <w:ilvl w:val="0"/>
          <w:numId w:val="39"/>
        </w:numPr>
      </w:pPr>
      <w:r w:rsidRPr="00314388">
        <w:t xml:space="preserve">available alternatives can be </w:t>
      </w:r>
      <w:r w:rsidR="00D774F9" w:rsidRPr="00314388">
        <w:t>amended</w:t>
      </w:r>
      <w:r w:rsidRPr="00314388">
        <w:t>;</w:t>
      </w:r>
    </w:p>
    <w:p w14:paraId="65B9CBF5" w14:textId="7D089848" w:rsidR="00314388" w:rsidRDefault="00D774F9" w:rsidP="00314388">
      <w:pPr>
        <w:pStyle w:val="ListParagraph"/>
        <w:numPr>
          <w:ilvl w:val="0"/>
          <w:numId w:val="39"/>
        </w:numPr>
      </w:pPr>
      <w:r w:rsidRPr="00314388">
        <w:t>impacts</w:t>
      </w:r>
      <w:r w:rsidR="00DF0720" w:rsidRPr="00314388">
        <w:t xml:space="preserve"> of alternatives can be changed</w:t>
      </w:r>
      <w:r w:rsidRPr="00314388">
        <w:t>;</w:t>
      </w:r>
      <w:r w:rsidR="00DF0720" w:rsidRPr="00314388">
        <w:t xml:space="preserve"> and </w:t>
      </w:r>
    </w:p>
    <w:p w14:paraId="7D5735C9" w14:textId="63AFF7D3" w:rsidR="00314388" w:rsidRDefault="00DF0720" w:rsidP="00314388">
      <w:pPr>
        <w:pStyle w:val="ListParagraph"/>
        <w:numPr>
          <w:ilvl w:val="0"/>
          <w:numId w:val="39"/>
        </w:numPr>
      </w:pPr>
      <w:r w:rsidRPr="00314388">
        <w:t xml:space="preserve">evaluation of </w:t>
      </w:r>
      <w:r w:rsidR="00D774F9" w:rsidRPr="00314388">
        <w:t>outcomes</w:t>
      </w:r>
      <w:r w:rsidRPr="00314388">
        <w:t xml:space="preserve"> can be </w:t>
      </w:r>
      <w:r w:rsidR="00D774F9" w:rsidRPr="00314388">
        <w:t>influenced</w:t>
      </w:r>
      <w:r w:rsidRPr="00314388">
        <w:t xml:space="preserve"> (</w:t>
      </w:r>
      <w:proofErr w:type="spellStart"/>
      <w:r w:rsidRPr="00314388">
        <w:t>Boersema</w:t>
      </w:r>
      <w:proofErr w:type="spellEnd"/>
      <w:r w:rsidRPr="00314388">
        <w:t xml:space="preserve"> and </w:t>
      </w:r>
      <w:proofErr w:type="spellStart"/>
      <w:r w:rsidRPr="00314388">
        <w:t>Reijnders</w:t>
      </w:r>
      <w:proofErr w:type="spellEnd"/>
      <w:r w:rsidRPr="00314388">
        <w:t xml:space="preserve"> </w:t>
      </w:r>
      <w:r w:rsidR="00765DAD" w:rsidRPr="00314388">
        <w:t xml:space="preserve">eds. </w:t>
      </w:r>
      <w:r w:rsidR="00040722" w:rsidRPr="00314388">
        <w:t>2009</w:t>
      </w:r>
      <w:r w:rsidRPr="00314388">
        <w:t>).</w:t>
      </w:r>
      <w:r w:rsidR="001912D3" w:rsidRPr="00314388">
        <w:t xml:space="preserve"> </w:t>
      </w:r>
    </w:p>
    <w:p w14:paraId="7CBB9645" w14:textId="03A9584D" w:rsidR="00040722" w:rsidRPr="00314388" w:rsidRDefault="001912D3" w:rsidP="00314388">
      <w:r w:rsidRPr="00314388">
        <w:t xml:space="preserve">These forms vary between traditional top-down steering by governments to </w:t>
      </w:r>
      <w:r w:rsidR="00040722" w:rsidRPr="00314388">
        <w:t>self-</w:t>
      </w:r>
      <w:r w:rsidRPr="00314388">
        <w:t xml:space="preserve">regulation of business organizations. Some </w:t>
      </w:r>
      <w:r w:rsidR="00E93A72" w:rsidRPr="00314388">
        <w:t>forms</w:t>
      </w:r>
      <w:r w:rsidRPr="00314388">
        <w:t xml:space="preserve"> are more, and others less</w:t>
      </w:r>
      <w:r w:rsidR="00D774F9" w:rsidRPr="00314388">
        <w:t>,</w:t>
      </w:r>
      <w:r w:rsidRPr="00314388">
        <w:t xml:space="preserve"> successful in fulfilling their policy objectives. It is often </w:t>
      </w:r>
      <w:r w:rsidR="007C1468" w:rsidRPr="00314388">
        <w:t>stated</w:t>
      </w:r>
      <w:r w:rsidRPr="00314388">
        <w:t xml:space="preserve"> that </w:t>
      </w:r>
      <w:r w:rsidR="00040722" w:rsidRPr="00314388">
        <w:t>collaborat</w:t>
      </w:r>
      <w:r w:rsidRPr="00314388">
        <w:t xml:space="preserve">ive modes of governance, which rely on stakeholder participation, are </w:t>
      </w:r>
      <w:r w:rsidR="009E1333" w:rsidRPr="00AC55F8">
        <w:t>needed</w:t>
      </w:r>
      <w:r w:rsidRPr="00AC55F8">
        <w:t xml:space="preserve"> </w:t>
      </w:r>
      <w:r w:rsidR="007C1468" w:rsidRPr="00303B2B">
        <w:t>to address</w:t>
      </w:r>
      <w:r w:rsidRPr="00303B2B">
        <w:t xml:space="preserve"> the comp</w:t>
      </w:r>
      <w:r w:rsidRPr="00314388">
        <w:t>lex, multi-</w:t>
      </w:r>
      <w:r w:rsidR="00D774F9" w:rsidRPr="00314388">
        <w:t>scalar</w:t>
      </w:r>
      <w:r w:rsidRPr="00314388">
        <w:t xml:space="preserve"> and cross-sectoral dimensions of environmental problems (</w:t>
      </w:r>
      <w:proofErr w:type="spellStart"/>
      <w:r w:rsidR="00765DAD" w:rsidRPr="00314388">
        <w:t>Challies</w:t>
      </w:r>
      <w:proofErr w:type="spellEnd"/>
      <w:r w:rsidR="00765DAD" w:rsidRPr="00314388">
        <w:t xml:space="preserve"> </w:t>
      </w:r>
      <w:r w:rsidR="00765DAD" w:rsidRPr="00314388">
        <w:rPr>
          <w:i/>
        </w:rPr>
        <w:t>et al.</w:t>
      </w:r>
      <w:r w:rsidR="00765DAD" w:rsidRPr="00314388">
        <w:t xml:space="preserve"> </w:t>
      </w:r>
      <w:r w:rsidR="00040722" w:rsidRPr="00314388">
        <w:t>2017</w:t>
      </w:r>
      <w:r w:rsidR="00765DAD" w:rsidRPr="00314388">
        <w:t xml:space="preserve">; </w:t>
      </w:r>
      <w:proofErr w:type="spellStart"/>
      <w:r w:rsidRPr="00314388">
        <w:t>Kochskämper</w:t>
      </w:r>
      <w:proofErr w:type="spellEnd"/>
      <w:r w:rsidRPr="00314388">
        <w:t xml:space="preserve"> </w:t>
      </w:r>
      <w:r w:rsidRPr="00314388">
        <w:rPr>
          <w:i/>
        </w:rPr>
        <w:t>et al.</w:t>
      </w:r>
      <w:r w:rsidR="00765DAD" w:rsidRPr="00314388">
        <w:t xml:space="preserve"> eds. </w:t>
      </w:r>
      <w:r w:rsidR="00040722" w:rsidRPr="00314388">
        <w:t>2018</w:t>
      </w:r>
      <w:r w:rsidRPr="00314388">
        <w:t xml:space="preserve">). </w:t>
      </w:r>
      <w:r w:rsidR="00EA1C3A" w:rsidRPr="00314388">
        <w:t xml:space="preserve">Moreover, </w:t>
      </w:r>
      <w:r w:rsidR="007C1468" w:rsidRPr="00314388">
        <w:t xml:space="preserve">increasing understanding of environmental challenges changed </w:t>
      </w:r>
      <w:r w:rsidR="00EA1C3A" w:rsidRPr="00314388">
        <w:t xml:space="preserve">policy approaches and instruments from targeted policies and single-use instruments to policy integration and raising </w:t>
      </w:r>
      <w:r w:rsidR="00314388">
        <w:t xml:space="preserve">of </w:t>
      </w:r>
      <w:r w:rsidR="00EA1C3A" w:rsidRPr="00314388">
        <w:t xml:space="preserve">public awareness to policy coherence and systematic approaches (e.g. green economy) (EEA </w:t>
      </w:r>
      <w:r w:rsidR="00040722" w:rsidRPr="00314388">
        <w:t>2017</w:t>
      </w:r>
      <w:r w:rsidR="00EA1C3A" w:rsidRPr="00314388">
        <w:t>).</w:t>
      </w:r>
    </w:p>
    <w:p w14:paraId="4380E095" w14:textId="111E9AF3" w:rsidR="00040722" w:rsidRPr="00C901F8" w:rsidRDefault="007C1468" w:rsidP="00566049">
      <w:pPr>
        <w:rPr>
          <w:color w:val="auto"/>
        </w:rPr>
      </w:pPr>
      <w:r w:rsidRPr="00C901F8">
        <w:rPr>
          <w:color w:val="auto"/>
        </w:rPr>
        <w:t>One policy tool t</w:t>
      </w:r>
      <w:r w:rsidR="00E93A72" w:rsidRPr="00C901F8">
        <w:rPr>
          <w:color w:val="auto"/>
        </w:rPr>
        <w:t xml:space="preserve">o address transboundary environmental problems and maintain </w:t>
      </w:r>
      <w:r w:rsidR="003C1E25">
        <w:rPr>
          <w:color w:val="auto"/>
        </w:rPr>
        <w:t>‘</w:t>
      </w:r>
      <w:r w:rsidR="00A07B05" w:rsidRPr="00C901F8">
        <w:rPr>
          <w:color w:val="auto"/>
        </w:rPr>
        <w:t xml:space="preserve">the </w:t>
      </w:r>
      <w:r w:rsidR="00E93A72" w:rsidRPr="00C901F8">
        <w:rPr>
          <w:color w:val="auto"/>
        </w:rPr>
        <w:t>common</w:t>
      </w:r>
      <w:r w:rsidR="00A07B05" w:rsidRPr="00C901F8">
        <w:rPr>
          <w:color w:val="auto"/>
        </w:rPr>
        <w:t>s</w:t>
      </w:r>
      <w:r w:rsidR="003C1E25">
        <w:rPr>
          <w:color w:val="auto"/>
        </w:rPr>
        <w:t>’</w:t>
      </w:r>
      <w:r w:rsidRPr="00C901F8">
        <w:rPr>
          <w:color w:val="auto"/>
        </w:rPr>
        <w:t xml:space="preserve"> </w:t>
      </w:r>
      <w:r w:rsidR="00314388">
        <w:rPr>
          <w:color w:val="auto"/>
        </w:rPr>
        <w:t xml:space="preserve">is </w:t>
      </w:r>
      <w:r w:rsidR="00E93A72" w:rsidRPr="00C901F8">
        <w:rPr>
          <w:color w:val="auto"/>
        </w:rPr>
        <w:t xml:space="preserve">robust and legally binding international agreements. However, given the structure and legal basis of international </w:t>
      </w:r>
      <w:r w:rsidR="00040722" w:rsidRPr="005E6BFA">
        <w:rPr>
          <w:color w:val="auto"/>
        </w:rPr>
        <w:t>law-making</w:t>
      </w:r>
      <w:r w:rsidR="00E93A72" w:rsidRPr="00C901F8">
        <w:rPr>
          <w:color w:val="auto"/>
        </w:rPr>
        <w:t>, such agreements often fall</w:t>
      </w:r>
      <w:r w:rsidR="00314388">
        <w:rPr>
          <w:color w:val="auto"/>
        </w:rPr>
        <w:t>s</w:t>
      </w:r>
      <w:r w:rsidR="00E93A72" w:rsidRPr="00C901F8">
        <w:rPr>
          <w:color w:val="auto"/>
        </w:rPr>
        <w:t xml:space="preserve"> short in meeting the ambitions of the front</w:t>
      </w:r>
      <w:r w:rsidR="00F504BE">
        <w:rPr>
          <w:color w:val="auto"/>
        </w:rPr>
        <w:t>-</w:t>
      </w:r>
      <w:r w:rsidR="00E93A72" w:rsidRPr="00C901F8">
        <w:rPr>
          <w:color w:val="auto"/>
        </w:rPr>
        <w:t xml:space="preserve">running or most affected countries </w:t>
      </w:r>
      <w:r w:rsidR="00E93A72" w:rsidRPr="005E6BFA">
        <w:rPr>
          <w:color w:val="auto"/>
        </w:rPr>
        <w:t xml:space="preserve">(Sandler </w:t>
      </w:r>
      <w:r w:rsidR="00040722" w:rsidRPr="005E6BFA">
        <w:rPr>
          <w:color w:val="auto"/>
        </w:rPr>
        <w:t>2017</w:t>
      </w:r>
      <w:r w:rsidR="00E93A72" w:rsidRPr="005E6BFA">
        <w:rPr>
          <w:color w:val="auto"/>
        </w:rPr>
        <w:t>)</w:t>
      </w:r>
      <w:r w:rsidR="00E93A72" w:rsidRPr="00C901F8">
        <w:rPr>
          <w:color w:val="auto"/>
        </w:rPr>
        <w:t xml:space="preserve">. Therefore, coalitions or clubs of countries may step in and develop more ambitious environmental policies </w:t>
      </w:r>
      <w:r w:rsidR="00E93A72" w:rsidRPr="005E6BFA">
        <w:rPr>
          <w:color w:val="auto"/>
        </w:rPr>
        <w:t>(</w:t>
      </w:r>
      <w:proofErr w:type="spellStart"/>
      <w:r w:rsidR="00E93A72" w:rsidRPr="005E6BFA">
        <w:rPr>
          <w:color w:val="auto"/>
        </w:rPr>
        <w:t>Hovi</w:t>
      </w:r>
      <w:proofErr w:type="spellEnd"/>
      <w:r w:rsidR="00E93A72" w:rsidRPr="005E6BFA">
        <w:rPr>
          <w:color w:val="auto"/>
        </w:rPr>
        <w:t xml:space="preserve"> </w:t>
      </w:r>
      <w:r w:rsidR="00E93A72" w:rsidRPr="005E6BFA">
        <w:rPr>
          <w:i/>
          <w:color w:val="auto"/>
        </w:rPr>
        <w:t>et al.</w:t>
      </w:r>
      <w:r w:rsidR="00E93A72" w:rsidRPr="005E6BFA">
        <w:rPr>
          <w:color w:val="auto"/>
        </w:rPr>
        <w:t xml:space="preserve"> </w:t>
      </w:r>
      <w:r w:rsidR="00040722" w:rsidRPr="005E6BFA">
        <w:rPr>
          <w:color w:val="auto"/>
        </w:rPr>
        <w:t>2016</w:t>
      </w:r>
      <w:r w:rsidR="00E93A72" w:rsidRPr="005E6BFA">
        <w:rPr>
          <w:color w:val="auto"/>
        </w:rPr>
        <w:t>)</w:t>
      </w:r>
      <w:r w:rsidR="00E93A72" w:rsidRPr="00C901F8">
        <w:rPr>
          <w:color w:val="auto"/>
        </w:rPr>
        <w:t>.</w:t>
      </w:r>
    </w:p>
    <w:p w14:paraId="4234965C" w14:textId="06D28D72" w:rsidR="00040722" w:rsidRDefault="00024BBE" w:rsidP="00566049">
      <w:pPr>
        <w:rPr>
          <w:color w:val="auto"/>
        </w:rPr>
      </w:pPr>
      <w:r w:rsidRPr="00C901F8">
        <w:rPr>
          <w:color w:val="auto"/>
        </w:rPr>
        <w:t>An often</w:t>
      </w:r>
      <w:r w:rsidR="007309A0" w:rsidRPr="00C901F8">
        <w:rPr>
          <w:color w:val="auto"/>
        </w:rPr>
        <w:t>-</w:t>
      </w:r>
      <w:r w:rsidRPr="00C901F8">
        <w:rPr>
          <w:color w:val="auto"/>
        </w:rPr>
        <w:t>stated understanding of environmental polic</w:t>
      </w:r>
      <w:r w:rsidR="0054769C" w:rsidRPr="00C901F8">
        <w:rPr>
          <w:color w:val="auto"/>
        </w:rPr>
        <w:t>y instruments</w:t>
      </w:r>
      <w:r w:rsidRPr="00C901F8">
        <w:rPr>
          <w:color w:val="auto"/>
        </w:rPr>
        <w:t xml:space="preserve"> is that they can be </w:t>
      </w:r>
      <w:r w:rsidR="00040722" w:rsidRPr="00C901F8">
        <w:rPr>
          <w:color w:val="auto"/>
        </w:rPr>
        <w:t>‘</w:t>
      </w:r>
      <w:r w:rsidRPr="00C901F8">
        <w:rPr>
          <w:color w:val="auto"/>
        </w:rPr>
        <w:t>carrots, sticks or sermons</w:t>
      </w:r>
      <w:r w:rsidR="00040722" w:rsidRPr="00C901F8">
        <w:rPr>
          <w:color w:val="auto"/>
        </w:rPr>
        <w:t>’</w:t>
      </w:r>
      <w:r w:rsidRPr="00C901F8">
        <w:rPr>
          <w:color w:val="auto"/>
        </w:rPr>
        <w:t xml:space="preserve">, although this is only a partial characterization of the full range </w:t>
      </w:r>
      <w:r w:rsidRPr="005E6BFA">
        <w:rPr>
          <w:color w:val="auto"/>
        </w:rPr>
        <w:t xml:space="preserve">(Niles and </w:t>
      </w:r>
      <w:proofErr w:type="spellStart"/>
      <w:r w:rsidRPr="005E6BFA">
        <w:rPr>
          <w:color w:val="auto"/>
        </w:rPr>
        <w:t>Lubell</w:t>
      </w:r>
      <w:proofErr w:type="spellEnd"/>
      <w:r w:rsidRPr="005E6BFA">
        <w:rPr>
          <w:color w:val="auto"/>
        </w:rPr>
        <w:t xml:space="preserve"> </w:t>
      </w:r>
      <w:r w:rsidR="00040722" w:rsidRPr="005E6BFA">
        <w:rPr>
          <w:color w:val="auto"/>
        </w:rPr>
        <w:t>2012</w:t>
      </w:r>
      <w:r w:rsidRPr="005E6BFA">
        <w:rPr>
          <w:color w:val="auto"/>
        </w:rPr>
        <w:t>)</w:t>
      </w:r>
      <w:r w:rsidRPr="00C901F8">
        <w:rPr>
          <w:color w:val="auto"/>
        </w:rPr>
        <w:t xml:space="preserve">. </w:t>
      </w:r>
      <w:r w:rsidR="00F2562D">
        <w:rPr>
          <w:color w:val="auto"/>
        </w:rPr>
        <w:t>Some</w:t>
      </w:r>
      <w:r w:rsidR="00F2562D" w:rsidRPr="00C901F8">
        <w:rPr>
          <w:color w:val="auto"/>
        </w:rPr>
        <w:t xml:space="preserve"> </w:t>
      </w:r>
      <w:r w:rsidRPr="00C901F8">
        <w:rPr>
          <w:color w:val="auto"/>
        </w:rPr>
        <w:t>common typ</w:t>
      </w:r>
      <w:r w:rsidR="00314388">
        <w:rPr>
          <w:color w:val="auto"/>
        </w:rPr>
        <w:t>e</w:t>
      </w:r>
      <w:r w:rsidR="00F2562D">
        <w:rPr>
          <w:color w:val="auto"/>
        </w:rPr>
        <w:t>s</w:t>
      </w:r>
      <w:r w:rsidRPr="00C901F8">
        <w:rPr>
          <w:color w:val="auto"/>
        </w:rPr>
        <w:t xml:space="preserve"> of policy instrument include legislation and regulatory policies, financial incentives/disincentives, voluntary approaches, treaties and agreements, </w:t>
      </w:r>
      <w:r w:rsidR="00F504BE">
        <w:rPr>
          <w:color w:val="auto"/>
        </w:rPr>
        <w:t xml:space="preserve">and </w:t>
      </w:r>
      <w:r w:rsidRPr="00C901F8">
        <w:rPr>
          <w:color w:val="auto"/>
        </w:rPr>
        <w:t>inter</w:t>
      </w:r>
      <w:r w:rsidR="00765DAD" w:rsidRPr="00C901F8">
        <w:rPr>
          <w:color w:val="auto"/>
        </w:rPr>
        <w:t>national soft law (</w:t>
      </w:r>
      <w:proofErr w:type="spellStart"/>
      <w:r w:rsidR="00765DAD" w:rsidRPr="005E6BFA">
        <w:rPr>
          <w:color w:val="auto"/>
        </w:rPr>
        <w:t>Hildén</w:t>
      </w:r>
      <w:proofErr w:type="spellEnd"/>
      <w:r w:rsidR="00765DAD" w:rsidRPr="005E6BFA">
        <w:rPr>
          <w:color w:val="auto"/>
        </w:rPr>
        <w:t xml:space="preserve">, Jordan and Rayner </w:t>
      </w:r>
      <w:r w:rsidR="00040722" w:rsidRPr="005E6BFA">
        <w:rPr>
          <w:color w:val="auto"/>
        </w:rPr>
        <w:t>2014</w:t>
      </w:r>
      <w:r w:rsidRPr="00C901F8">
        <w:rPr>
          <w:color w:val="auto"/>
        </w:rPr>
        <w:t>). GEO</w:t>
      </w:r>
      <w:r w:rsidR="007309A0" w:rsidRPr="00C901F8">
        <w:rPr>
          <w:color w:val="auto"/>
        </w:rPr>
        <w:t>-</w:t>
      </w:r>
      <w:r w:rsidRPr="00C901F8">
        <w:rPr>
          <w:color w:val="auto"/>
        </w:rPr>
        <w:t xml:space="preserve">4 used the following traditional structure: regulations and standards, market-based instruments, voluntary agreements, research and development, and information instruments </w:t>
      </w:r>
      <w:r w:rsidRPr="005E6BFA">
        <w:rPr>
          <w:color w:val="auto"/>
        </w:rPr>
        <w:t xml:space="preserve">(UNEP </w:t>
      </w:r>
      <w:r w:rsidR="00040722" w:rsidRPr="005E6BFA">
        <w:rPr>
          <w:color w:val="auto"/>
        </w:rPr>
        <w:t>2007</w:t>
      </w:r>
      <w:r w:rsidRPr="005E6BFA">
        <w:rPr>
          <w:color w:val="auto"/>
        </w:rPr>
        <w:t>)</w:t>
      </w:r>
      <w:r w:rsidRPr="00C901F8">
        <w:rPr>
          <w:color w:val="auto"/>
        </w:rPr>
        <w:t>. In GEO</w:t>
      </w:r>
      <w:r w:rsidR="007309A0" w:rsidRPr="00C901F8">
        <w:rPr>
          <w:color w:val="auto"/>
        </w:rPr>
        <w:t>-</w:t>
      </w:r>
      <w:r w:rsidRPr="00C901F8">
        <w:rPr>
          <w:color w:val="auto"/>
        </w:rPr>
        <w:t xml:space="preserve">5, common threads were traced between and </w:t>
      </w:r>
      <w:r w:rsidR="00F2562D">
        <w:rPr>
          <w:color w:val="auto"/>
        </w:rPr>
        <w:t>across</w:t>
      </w:r>
      <w:r w:rsidR="00F2562D" w:rsidRPr="00C901F8">
        <w:rPr>
          <w:color w:val="auto"/>
        </w:rPr>
        <w:t xml:space="preserve"> </w:t>
      </w:r>
      <w:r w:rsidR="00F2562D">
        <w:rPr>
          <w:color w:val="auto"/>
        </w:rPr>
        <w:t>different world</w:t>
      </w:r>
      <w:r w:rsidR="00F2562D" w:rsidRPr="00C901F8">
        <w:rPr>
          <w:color w:val="auto"/>
        </w:rPr>
        <w:t xml:space="preserve"> </w:t>
      </w:r>
      <w:r w:rsidRPr="00C901F8">
        <w:rPr>
          <w:color w:val="auto"/>
        </w:rPr>
        <w:t xml:space="preserve">regions, </w:t>
      </w:r>
      <w:r w:rsidR="007309A0" w:rsidRPr="005E6BFA">
        <w:rPr>
          <w:color w:val="auto"/>
        </w:rPr>
        <w:t>emphas</w:t>
      </w:r>
      <w:r w:rsidR="00040722" w:rsidRPr="005E6BFA">
        <w:rPr>
          <w:color w:val="auto"/>
        </w:rPr>
        <w:t>izi</w:t>
      </w:r>
      <w:r w:rsidR="00D774F9" w:rsidRPr="005E6BFA">
        <w:rPr>
          <w:color w:val="auto"/>
        </w:rPr>
        <w:t>ng</w:t>
      </w:r>
      <w:r w:rsidR="007309A0" w:rsidRPr="00C901F8">
        <w:rPr>
          <w:color w:val="auto"/>
        </w:rPr>
        <w:t xml:space="preserve"> </w:t>
      </w:r>
      <w:proofErr w:type="gramStart"/>
      <w:r w:rsidRPr="00C901F8">
        <w:rPr>
          <w:color w:val="auto"/>
        </w:rPr>
        <w:t>particular policy</w:t>
      </w:r>
      <w:proofErr w:type="gramEnd"/>
      <w:r w:rsidRPr="00C901F8">
        <w:rPr>
          <w:color w:val="auto"/>
        </w:rPr>
        <w:t xml:space="preserve"> </w:t>
      </w:r>
      <w:r w:rsidRPr="00C901F8">
        <w:rPr>
          <w:color w:val="auto"/>
        </w:rPr>
        <w:lastRenderedPageBreak/>
        <w:t xml:space="preserve">approaches </w:t>
      </w:r>
      <w:r w:rsidR="00D774F9" w:rsidRPr="00C901F8">
        <w:rPr>
          <w:color w:val="auto"/>
        </w:rPr>
        <w:t xml:space="preserve">that had </w:t>
      </w:r>
      <w:r w:rsidRPr="00C901F8">
        <w:rPr>
          <w:color w:val="auto"/>
        </w:rPr>
        <w:t>prov</w:t>
      </w:r>
      <w:r w:rsidR="00D774F9" w:rsidRPr="00C901F8">
        <w:rPr>
          <w:color w:val="auto"/>
        </w:rPr>
        <w:t>en</w:t>
      </w:r>
      <w:r w:rsidRPr="00C901F8">
        <w:rPr>
          <w:color w:val="auto"/>
        </w:rPr>
        <w:t xml:space="preserve"> successful in a number of cases. </w:t>
      </w:r>
      <w:r w:rsidR="004048B3" w:rsidRPr="00C901F8">
        <w:rPr>
          <w:color w:val="auto"/>
        </w:rPr>
        <w:t>Successful p</w:t>
      </w:r>
      <w:r w:rsidRPr="00C901F8">
        <w:rPr>
          <w:color w:val="auto"/>
        </w:rPr>
        <w:t xml:space="preserve">olicy responses in </w:t>
      </w:r>
      <w:r w:rsidR="004048B3" w:rsidRPr="00C901F8">
        <w:rPr>
          <w:color w:val="auto"/>
        </w:rPr>
        <w:t>several</w:t>
      </w:r>
      <w:r w:rsidRPr="00C901F8">
        <w:rPr>
          <w:color w:val="auto"/>
        </w:rPr>
        <w:t xml:space="preserve"> region</w:t>
      </w:r>
      <w:r w:rsidR="004048B3" w:rsidRPr="00C901F8">
        <w:rPr>
          <w:color w:val="auto"/>
        </w:rPr>
        <w:t>s</w:t>
      </w:r>
      <w:r w:rsidRPr="00C901F8">
        <w:rPr>
          <w:color w:val="auto"/>
        </w:rPr>
        <w:t xml:space="preserve"> were assumed to </w:t>
      </w:r>
      <w:r w:rsidR="004048B3" w:rsidRPr="00C901F8">
        <w:rPr>
          <w:color w:val="auto"/>
        </w:rPr>
        <w:t>be more likely</w:t>
      </w:r>
      <w:r w:rsidRPr="00C901F8">
        <w:rPr>
          <w:color w:val="auto"/>
        </w:rPr>
        <w:t xml:space="preserve"> </w:t>
      </w:r>
      <w:r w:rsidR="004048B3" w:rsidRPr="00C901F8">
        <w:rPr>
          <w:color w:val="auto"/>
        </w:rPr>
        <w:t>to</w:t>
      </w:r>
      <w:r w:rsidRPr="00C901F8">
        <w:rPr>
          <w:color w:val="auto"/>
        </w:rPr>
        <w:t xml:space="preserve"> accelerat</w:t>
      </w:r>
      <w:r w:rsidR="004048B3" w:rsidRPr="00C901F8">
        <w:rPr>
          <w:color w:val="auto"/>
        </w:rPr>
        <w:t>e</w:t>
      </w:r>
      <w:r w:rsidRPr="00C901F8">
        <w:rPr>
          <w:color w:val="auto"/>
        </w:rPr>
        <w:t xml:space="preserve"> achievement of internationally agreed goals. Within the DPSIR framework, policies that address </w:t>
      </w:r>
      <w:r w:rsidR="00040722" w:rsidRPr="00C901F8">
        <w:rPr>
          <w:color w:val="auto"/>
        </w:rPr>
        <w:t>‘</w:t>
      </w:r>
      <w:r w:rsidRPr="00C901F8">
        <w:rPr>
          <w:color w:val="auto"/>
        </w:rPr>
        <w:t>drivers</w:t>
      </w:r>
      <w:r w:rsidR="00040722" w:rsidRPr="00C901F8">
        <w:rPr>
          <w:color w:val="auto"/>
        </w:rPr>
        <w:t>’</w:t>
      </w:r>
      <w:r w:rsidRPr="00C901F8">
        <w:rPr>
          <w:color w:val="auto"/>
        </w:rPr>
        <w:t xml:space="preserve"> tend to be preferred, as they </w:t>
      </w:r>
      <w:r w:rsidR="007309A0" w:rsidRPr="00C901F8">
        <w:rPr>
          <w:color w:val="auto"/>
        </w:rPr>
        <w:t>intend to address</w:t>
      </w:r>
      <w:r w:rsidRPr="00C901F8">
        <w:rPr>
          <w:color w:val="auto"/>
        </w:rPr>
        <w:t xml:space="preserve"> the roots of environmental problems rather than treating the symptoms </w:t>
      </w:r>
      <w:r w:rsidRPr="005E6BFA">
        <w:rPr>
          <w:color w:val="auto"/>
        </w:rPr>
        <w:t>(UNEP</w:t>
      </w:r>
      <w:r w:rsidR="007309A0" w:rsidRPr="005E6BFA">
        <w:rPr>
          <w:color w:val="auto"/>
        </w:rPr>
        <w:t xml:space="preserve"> </w:t>
      </w:r>
      <w:r w:rsidR="00040722" w:rsidRPr="005E6BFA">
        <w:rPr>
          <w:color w:val="auto"/>
        </w:rPr>
        <w:t>2012</w:t>
      </w:r>
      <w:r w:rsidRPr="005E6BFA">
        <w:rPr>
          <w:color w:val="auto"/>
        </w:rPr>
        <w:t>)</w:t>
      </w:r>
      <w:r w:rsidRPr="00C901F8">
        <w:rPr>
          <w:color w:val="auto"/>
        </w:rPr>
        <w:t>. For GEO-6, the typol</w:t>
      </w:r>
      <w:r w:rsidR="00040722" w:rsidRPr="00B4619D">
        <w:rPr>
          <w:color w:val="auto"/>
        </w:rPr>
        <w:t>ogy</w:t>
      </w:r>
      <w:r w:rsidRPr="00C901F8">
        <w:rPr>
          <w:color w:val="auto"/>
        </w:rPr>
        <w:t xml:space="preserve"> in </w:t>
      </w:r>
      <w:r w:rsidR="007237ED" w:rsidRPr="00C901F8">
        <w:rPr>
          <w:color w:val="auto"/>
        </w:rPr>
        <w:fldChar w:fldCharType="begin"/>
      </w:r>
      <w:r w:rsidR="007237ED" w:rsidRPr="00C901F8">
        <w:rPr>
          <w:color w:val="auto"/>
        </w:rPr>
        <w:instrText xml:space="preserve"> REF _Ref511668466 \h </w:instrText>
      </w:r>
      <w:r w:rsidR="00566049" w:rsidRPr="00C901F8">
        <w:rPr>
          <w:color w:val="auto"/>
        </w:rPr>
        <w:instrText xml:space="preserve"> \* MERGEFORMAT </w:instrText>
      </w:r>
      <w:r w:rsidR="007237ED" w:rsidRPr="00C901F8">
        <w:rPr>
          <w:color w:val="auto"/>
        </w:rPr>
      </w:r>
      <w:r w:rsidR="007237ED" w:rsidRPr="00C901F8">
        <w:rPr>
          <w:color w:val="auto"/>
        </w:rPr>
        <w:fldChar w:fldCharType="separate"/>
      </w:r>
      <w:r w:rsidR="00165FF6" w:rsidRPr="00C901F8">
        <w:rPr>
          <w:color w:val="auto"/>
        </w:rPr>
        <w:t>Table 10.1</w:t>
      </w:r>
      <w:r w:rsidR="007237ED" w:rsidRPr="00C901F8">
        <w:rPr>
          <w:color w:val="auto"/>
        </w:rPr>
        <w:fldChar w:fldCharType="end"/>
      </w:r>
      <w:r w:rsidR="00BB46B7" w:rsidRPr="00C901F8">
        <w:rPr>
          <w:color w:val="auto"/>
        </w:rPr>
        <w:t xml:space="preserve"> </w:t>
      </w:r>
      <w:r w:rsidRPr="00C901F8">
        <w:rPr>
          <w:color w:val="auto"/>
        </w:rPr>
        <w:t xml:space="preserve">has been used to provide guidance on the selection of </w:t>
      </w:r>
      <w:r w:rsidR="00F2562D">
        <w:rPr>
          <w:color w:val="auto"/>
        </w:rPr>
        <w:t xml:space="preserve">types of </w:t>
      </w:r>
      <w:r w:rsidRPr="00C901F8">
        <w:rPr>
          <w:color w:val="auto"/>
        </w:rPr>
        <w:t xml:space="preserve">policies </w:t>
      </w:r>
      <w:r w:rsidR="00C0423A" w:rsidRPr="00C901F8">
        <w:rPr>
          <w:color w:val="auto"/>
        </w:rPr>
        <w:t>instrument</w:t>
      </w:r>
      <w:r w:rsidR="00F2562D">
        <w:rPr>
          <w:color w:val="auto"/>
        </w:rPr>
        <w:t>s</w:t>
      </w:r>
      <w:r w:rsidR="00C0423A" w:rsidRPr="00C901F8">
        <w:rPr>
          <w:color w:val="auto"/>
        </w:rPr>
        <w:t xml:space="preserve"> </w:t>
      </w:r>
      <w:r w:rsidR="007309A0" w:rsidRPr="00C901F8">
        <w:rPr>
          <w:color w:val="auto"/>
        </w:rPr>
        <w:t xml:space="preserve">and governance approaches </w:t>
      </w:r>
      <w:r w:rsidRPr="00C901F8">
        <w:rPr>
          <w:color w:val="auto"/>
        </w:rPr>
        <w:t xml:space="preserve">and </w:t>
      </w:r>
      <w:r w:rsidR="007309A0" w:rsidRPr="00C901F8">
        <w:rPr>
          <w:color w:val="auto"/>
        </w:rPr>
        <w:t xml:space="preserve">associated </w:t>
      </w:r>
      <w:r w:rsidRPr="00C901F8">
        <w:rPr>
          <w:color w:val="auto"/>
        </w:rPr>
        <w:t>case studies.</w:t>
      </w:r>
      <w:r w:rsidR="0054769C" w:rsidRPr="00C901F8">
        <w:rPr>
          <w:color w:val="auto"/>
        </w:rPr>
        <w:t xml:space="preserve"> Note, however, </w:t>
      </w:r>
      <w:r w:rsidR="00F504BE">
        <w:rPr>
          <w:color w:val="auto"/>
        </w:rPr>
        <w:t xml:space="preserve">that </w:t>
      </w:r>
      <w:r w:rsidR="007C1468" w:rsidRPr="00C901F8">
        <w:rPr>
          <w:color w:val="auto"/>
        </w:rPr>
        <w:t>the typol</w:t>
      </w:r>
      <w:r w:rsidR="00040722" w:rsidRPr="00B4619D">
        <w:rPr>
          <w:color w:val="auto"/>
        </w:rPr>
        <w:t>ogy</w:t>
      </w:r>
      <w:r w:rsidR="007C1468" w:rsidRPr="00C901F8">
        <w:rPr>
          <w:color w:val="auto"/>
        </w:rPr>
        <w:t xml:space="preserve"> </w:t>
      </w:r>
      <w:r w:rsidR="0054769C" w:rsidRPr="00C901F8">
        <w:rPr>
          <w:color w:val="auto"/>
        </w:rPr>
        <w:t xml:space="preserve">is not intended to be an exhaustive </w:t>
      </w:r>
      <w:r w:rsidR="00BD5D61" w:rsidRPr="00C901F8">
        <w:rPr>
          <w:color w:val="auto"/>
        </w:rPr>
        <w:t xml:space="preserve">coverage of </w:t>
      </w:r>
      <w:r w:rsidR="0054769C" w:rsidRPr="00C901F8">
        <w:rPr>
          <w:color w:val="auto"/>
        </w:rPr>
        <w:t>all possible environmental policies or policy instruments.</w:t>
      </w:r>
    </w:p>
    <w:p w14:paraId="76792647" w14:textId="77777777" w:rsidR="00B07D71" w:rsidRPr="00C901F8" w:rsidRDefault="00B07D71" w:rsidP="00566049">
      <w:pPr>
        <w:rPr>
          <w:color w:val="auto"/>
        </w:rPr>
      </w:pPr>
    </w:p>
    <w:p w14:paraId="20BE7059" w14:textId="77777777" w:rsidR="00276054" w:rsidRDefault="00276054" w:rsidP="00566049">
      <w:pPr>
        <w:pStyle w:val="Caption"/>
        <w:rPr>
          <w:color w:val="auto"/>
        </w:rPr>
        <w:sectPr w:rsidR="00276054" w:rsidSect="00140B4A">
          <w:headerReference w:type="default" r:id="rId8"/>
          <w:footerReference w:type="default" r:id="rId9"/>
          <w:pgSz w:w="11907" w:h="16839"/>
          <w:pgMar w:top="1440" w:right="1440" w:bottom="1440" w:left="1440" w:header="720" w:footer="720" w:gutter="0"/>
          <w:cols w:space="720"/>
          <w:docGrid w:linePitch="326"/>
        </w:sectPr>
      </w:pPr>
      <w:bookmarkStart w:id="2" w:name="_3znysh7" w:colFirst="0" w:colLast="0"/>
      <w:bookmarkStart w:id="3" w:name="_Ref511668466"/>
      <w:bookmarkEnd w:id="2"/>
    </w:p>
    <w:p w14:paraId="44E8D83B" w14:textId="77777777" w:rsidR="002E0334" w:rsidRPr="00EB28E7" w:rsidRDefault="007237ED" w:rsidP="00CF47BB">
      <w:pPr>
        <w:pStyle w:val="Caption"/>
      </w:pPr>
      <w:r w:rsidRPr="00EB28E7">
        <w:lastRenderedPageBreak/>
        <w:t xml:space="preserve">Table </w:t>
      </w:r>
      <w:fldSimple w:instr=" STYLEREF 1 \s ">
        <w:r w:rsidR="00165FF6" w:rsidRPr="00EB28E7">
          <w:t>10</w:t>
        </w:r>
      </w:fldSimple>
      <w:r w:rsidRPr="00EB28E7">
        <w:t>.</w:t>
      </w:r>
      <w:r w:rsidR="002B4B64">
        <w:fldChar w:fldCharType="begin"/>
      </w:r>
      <w:r w:rsidR="002B4B64">
        <w:instrText xml:space="preserve"> SEQ Table \* ARABIC \s 1 </w:instrText>
      </w:r>
      <w:r w:rsidR="002B4B64">
        <w:fldChar w:fldCharType="separate"/>
      </w:r>
      <w:r w:rsidR="00165FF6" w:rsidRPr="00EB28E7">
        <w:t>1</w:t>
      </w:r>
      <w:r w:rsidR="002B4B64">
        <w:fldChar w:fldCharType="end"/>
      </w:r>
      <w:bookmarkEnd w:id="3"/>
      <w:r w:rsidRPr="00EB28E7">
        <w:t>:</w:t>
      </w:r>
      <w:r w:rsidR="00040722" w:rsidRPr="00EB28E7">
        <w:t xml:space="preserve"> </w:t>
      </w:r>
      <w:r w:rsidRPr="00EB28E7">
        <w:t xml:space="preserve">Policy </w:t>
      </w:r>
      <w:r w:rsidR="00061DCC" w:rsidRPr="00EB28E7">
        <w:t>typology</w:t>
      </w:r>
    </w:p>
    <w:tbl>
      <w:tblPr>
        <w:tblStyle w:val="GridTable2-Accent11"/>
        <w:tblW w:w="5000" w:type="pct"/>
        <w:tblBorders>
          <w:top w:val="single" w:sz="4"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2021"/>
        <w:gridCol w:w="2022"/>
        <w:gridCol w:w="2263"/>
        <w:gridCol w:w="2011"/>
        <w:gridCol w:w="1792"/>
        <w:gridCol w:w="2022"/>
        <w:gridCol w:w="2022"/>
      </w:tblGrid>
      <w:tr w:rsidR="0006556F" w:rsidRPr="00C901F8" w14:paraId="6E79B986" w14:textId="77777777" w:rsidTr="00EB2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Borders>
              <w:top w:val="single" w:sz="4" w:space="0" w:color="auto"/>
              <w:bottom w:val="single" w:sz="4" w:space="0" w:color="auto"/>
            </w:tcBorders>
          </w:tcPr>
          <w:p w14:paraId="33BC175E" w14:textId="77777777" w:rsidR="002E0334" w:rsidRPr="00C901F8" w:rsidRDefault="005F2026" w:rsidP="00140B4A">
            <w:pPr>
              <w:pStyle w:val="TableText"/>
              <w:rPr>
                <w:color w:val="auto"/>
                <w:sz w:val="20"/>
                <w:szCs w:val="20"/>
              </w:rPr>
            </w:pPr>
            <w:r w:rsidRPr="00C901F8">
              <w:rPr>
                <w:color w:val="auto"/>
                <w:sz w:val="20"/>
                <w:szCs w:val="20"/>
              </w:rPr>
              <w:t xml:space="preserve">Policy instrument / </w:t>
            </w:r>
            <w:r w:rsidR="00C52F5D" w:rsidRPr="00C901F8">
              <w:rPr>
                <w:color w:val="auto"/>
                <w:sz w:val="20"/>
                <w:szCs w:val="20"/>
              </w:rPr>
              <w:t>g</w:t>
            </w:r>
            <w:r w:rsidR="00024BBE" w:rsidRPr="00C901F8">
              <w:rPr>
                <w:color w:val="auto"/>
                <w:sz w:val="20"/>
                <w:szCs w:val="20"/>
              </w:rPr>
              <w:t xml:space="preserve">overnance </w:t>
            </w:r>
            <w:r w:rsidR="00C52F5D" w:rsidRPr="00C901F8">
              <w:rPr>
                <w:color w:val="auto"/>
                <w:sz w:val="20"/>
                <w:szCs w:val="20"/>
              </w:rPr>
              <w:t>a</w:t>
            </w:r>
            <w:r w:rsidR="00024BBE" w:rsidRPr="00C901F8">
              <w:rPr>
                <w:color w:val="auto"/>
                <w:sz w:val="20"/>
                <w:szCs w:val="20"/>
              </w:rPr>
              <w:t xml:space="preserve">pproach </w:t>
            </w:r>
          </w:p>
        </w:tc>
        <w:tc>
          <w:tcPr>
            <w:tcW w:w="1991" w:type="dxa"/>
            <w:tcBorders>
              <w:top w:val="single" w:sz="4" w:space="0" w:color="auto"/>
              <w:bottom w:val="single" w:sz="4" w:space="0" w:color="auto"/>
            </w:tcBorders>
          </w:tcPr>
          <w:p w14:paraId="51D93302" w14:textId="77777777" w:rsidR="002E0334" w:rsidRPr="00C901F8" w:rsidRDefault="00024BBE" w:rsidP="00140B4A">
            <w:pPr>
              <w:pStyle w:val="TableText"/>
              <w:cnfStyle w:val="100000000000" w:firstRow="1" w:lastRow="0" w:firstColumn="0" w:lastColumn="0" w:oddVBand="0" w:evenVBand="0" w:oddHBand="0" w:evenHBand="0" w:firstRowFirstColumn="0" w:firstRowLastColumn="0" w:lastRowFirstColumn="0" w:lastRowLastColumn="0"/>
              <w:rPr>
                <w:color w:val="auto"/>
                <w:sz w:val="20"/>
                <w:szCs w:val="20"/>
              </w:rPr>
            </w:pPr>
            <w:r w:rsidRPr="00C901F8">
              <w:rPr>
                <w:color w:val="auto"/>
                <w:sz w:val="20"/>
                <w:szCs w:val="20"/>
              </w:rPr>
              <w:t xml:space="preserve">Point of </w:t>
            </w:r>
            <w:proofErr w:type="spellStart"/>
            <w:r w:rsidRPr="00C901F8">
              <w:rPr>
                <w:color w:val="auto"/>
                <w:sz w:val="20"/>
                <w:szCs w:val="20"/>
              </w:rPr>
              <w:t>intervention</w:t>
            </w:r>
            <w:r w:rsidR="00F504BE">
              <w:rPr>
                <w:color w:val="auto"/>
                <w:sz w:val="20"/>
                <w:szCs w:val="20"/>
                <w:vertAlign w:val="superscript"/>
              </w:rPr>
              <w:t>a</w:t>
            </w:r>
            <w:proofErr w:type="spellEnd"/>
          </w:p>
        </w:tc>
        <w:tc>
          <w:tcPr>
            <w:tcW w:w="2228" w:type="dxa"/>
            <w:tcBorders>
              <w:top w:val="single" w:sz="4" w:space="0" w:color="auto"/>
              <w:bottom w:val="single" w:sz="4" w:space="0" w:color="auto"/>
            </w:tcBorders>
          </w:tcPr>
          <w:p w14:paraId="1486C6F8" w14:textId="77777777" w:rsidR="002E0334" w:rsidRPr="00C901F8" w:rsidRDefault="00024BBE" w:rsidP="00140B4A">
            <w:pPr>
              <w:pStyle w:val="TableText"/>
              <w:cnfStyle w:val="100000000000" w:firstRow="1" w:lastRow="0" w:firstColumn="0" w:lastColumn="0" w:oddVBand="0" w:evenVBand="0" w:oddHBand="0" w:evenHBand="0" w:firstRowFirstColumn="0" w:firstRowLastColumn="0" w:lastRowFirstColumn="0" w:lastRowLastColumn="0"/>
              <w:rPr>
                <w:color w:val="auto"/>
                <w:sz w:val="20"/>
                <w:szCs w:val="20"/>
              </w:rPr>
            </w:pPr>
            <w:r w:rsidRPr="00C901F8">
              <w:rPr>
                <w:color w:val="auto"/>
                <w:sz w:val="20"/>
                <w:szCs w:val="20"/>
              </w:rPr>
              <w:t>Assumed causal mechanism</w:t>
            </w:r>
          </w:p>
        </w:tc>
        <w:tc>
          <w:tcPr>
            <w:tcW w:w="1980" w:type="dxa"/>
            <w:tcBorders>
              <w:top w:val="single" w:sz="4" w:space="0" w:color="auto"/>
              <w:bottom w:val="single" w:sz="4" w:space="0" w:color="auto"/>
            </w:tcBorders>
          </w:tcPr>
          <w:p w14:paraId="118BD982" w14:textId="77777777" w:rsidR="002E0334" w:rsidRPr="00C901F8" w:rsidRDefault="00024BBE" w:rsidP="00140B4A">
            <w:pPr>
              <w:pStyle w:val="TableText"/>
              <w:cnfStyle w:val="100000000000" w:firstRow="1" w:lastRow="0" w:firstColumn="0" w:lastColumn="0" w:oddVBand="0" w:evenVBand="0" w:oddHBand="0" w:evenHBand="0" w:firstRowFirstColumn="0" w:firstRowLastColumn="0" w:lastRowFirstColumn="0" w:lastRowLastColumn="0"/>
              <w:rPr>
                <w:color w:val="auto"/>
                <w:sz w:val="20"/>
                <w:szCs w:val="20"/>
              </w:rPr>
            </w:pPr>
            <w:r w:rsidRPr="00C901F8">
              <w:rPr>
                <w:color w:val="auto"/>
                <w:sz w:val="20"/>
                <w:szCs w:val="20"/>
              </w:rPr>
              <w:t xml:space="preserve">Barriers to effectiveness </w:t>
            </w:r>
          </w:p>
        </w:tc>
        <w:tc>
          <w:tcPr>
            <w:tcW w:w="1765" w:type="dxa"/>
            <w:tcBorders>
              <w:top w:val="single" w:sz="4" w:space="0" w:color="auto"/>
              <w:bottom w:val="single" w:sz="4" w:space="0" w:color="auto"/>
            </w:tcBorders>
          </w:tcPr>
          <w:p w14:paraId="3D2419A8" w14:textId="77777777" w:rsidR="002E0334" w:rsidRPr="00C901F8" w:rsidRDefault="00024BBE" w:rsidP="00140B4A">
            <w:pPr>
              <w:pStyle w:val="TableText"/>
              <w:cnfStyle w:val="100000000000" w:firstRow="1" w:lastRow="0" w:firstColumn="0" w:lastColumn="0" w:oddVBand="0" w:evenVBand="0" w:oddHBand="0" w:evenHBand="0" w:firstRowFirstColumn="0" w:firstRowLastColumn="0" w:lastRowFirstColumn="0" w:lastRowLastColumn="0"/>
              <w:rPr>
                <w:color w:val="auto"/>
                <w:sz w:val="20"/>
                <w:szCs w:val="20"/>
              </w:rPr>
            </w:pPr>
            <w:r w:rsidRPr="00C901F8">
              <w:rPr>
                <w:color w:val="auto"/>
                <w:sz w:val="20"/>
                <w:szCs w:val="20"/>
              </w:rPr>
              <w:t>Potential costs</w:t>
            </w:r>
          </w:p>
        </w:tc>
        <w:tc>
          <w:tcPr>
            <w:tcW w:w="1991" w:type="dxa"/>
            <w:tcBorders>
              <w:top w:val="single" w:sz="4" w:space="0" w:color="auto"/>
              <w:bottom w:val="single" w:sz="4" w:space="0" w:color="auto"/>
            </w:tcBorders>
          </w:tcPr>
          <w:p w14:paraId="2CF91C2C" w14:textId="77777777" w:rsidR="002E0334" w:rsidRPr="00C901F8" w:rsidRDefault="00024BBE" w:rsidP="00140B4A">
            <w:pPr>
              <w:pStyle w:val="TableText"/>
              <w:cnfStyle w:val="100000000000" w:firstRow="1" w:lastRow="0" w:firstColumn="0" w:lastColumn="0" w:oddVBand="0" w:evenVBand="0" w:oddHBand="0" w:evenHBand="0" w:firstRowFirstColumn="0" w:firstRowLastColumn="0" w:lastRowFirstColumn="0" w:lastRowLastColumn="0"/>
              <w:rPr>
                <w:color w:val="auto"/>
                <w:sz w:val="20"/>
                <w:szCs w:val="20"/>
              </w:rPr>
            </w:pPr>
            <w:r w:rsidRPr="00C901F8">
              <w:rPr>
                <w:color w:val="auto"/>
                <w:sz w:val="20"/>
                <w:szCs w:val="20"/>
              </w:rPr>
              <w:t xml:space="preserve">Typical </w:t>
            </w:r>
            <w:r w:rsidR="0054769C" w:rsidRPr="00C901F8">
              <w:rPr>
                <w:color w:val="auto"/>
                <w:sz w:val="20"/>
                <w:szCs w:val="20"/>
              </w:rPr>
              <w:t xml:space="preserve">policy </w:t>
            </w:r>
            <w:r w:rsidRPr="00C901F8">
              <w:rPr>
                <w:color w:val="auto"/>
                <w:sz w:val="20"/>
                <w:szCs w:val="20"/>
              </w:rPr>
              <w:t xml:space="preserve">instruments </w:t>
            </w:r>
          </w:p>
        </w:tc>
        <w:tc>
          <w:tcPr>
            <w:tcW w:w="1991" w:type="dxa"/>
            <w:tcBorders>
              <w:top w:val="single" w:sz="4" w:space="0" w:color="auto"/>
              <w:bottom w:val="single" w:sz="4" w:space="0" w:color="auto"/>
            </w:tcBorders>
          </w:tcPr>
          <w:p w14:paraId="6BBA8B2A" w14:textId="77777777" w:rsidR="002E0334" w:rsidRPr="00C901F8" w:rsidRDefault="00024BBE" w:rsidP="00140B4A">
            <w:pPr>
              <w:pStyle w:val="TableText"/>
              <w:cnfStyle w:val="100000000000" w:firstRow="1" w:lastRow="0" w:firstColumn="0" w:lastColumn="0" w:oddVBand="0" w:evenVBand="0" w:oddHBand="0" w:evenHBand="0" w:firstRowFirstColumn="0" w:firstRowLastColumn="0" w:lastRowFirstColumn="0" w:lastRowLastColumn="0"/>
              <w:rPr>
                <w:color w:val="auto"/>
                <w:sz w:val="20"/>
                <w:szCs w:val="20"/>
              </w:rPr>
            </w:pPr>
            <w:r w:rsidRPr="00C901F8">
              <w:rPr>
                <w:color w:val="auto"/>
                <w:sz w:val="20"/>
                <w:szCs w:val="20"/>
              </w:rPr>
              <w:t>Contextual requirements</w:t>
            </w:r>
          </w:p>
        </w:tc>
      </w:tr>
      <w:tr w:rsidR="002E0334" w:rsidRPr="00C901F8" w14:paraId="7E66C7D5" w14:textId="77777777" w:rsidTr="00EB2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Borders>
              <w:top w:val="single" w:sz="4" w:space="0" w:color="auto"/>
            </w:tcBorders>
          </w:tcPr>
          <w:p w14:paraId="4ECF3FD7" w14:textId="77777777" w:rsidR="002E0334" w:rsidRPr="00C901F8" w:rsidRDefault="00024BBE" w:rsidP="00140B4A">
            <w:pPr>
              <w:pStyle w:val="TableText"/>
              <w:rPr>
                <w:color w:val="auto"/>
                <w:sz w:val="20"/>
                <w:szCs w:val="20"/>
              </w:rPr>
            </w:pPr>
            <w:r w:rsidRPr="00C901F8">
              <w:rPr>
                <w:color w:val="auto"/>
                <w:sz w:val="20"/>
                <w:szCs w:val="20"/>
              </w:rPr>
              <w:t xml:space="preserve">Command and Control </w:t>
            </w:r>
          </w:p>
        </w:tc>
        <w:tc>
          <w:tcPr>
            <w:tcW w:w="1991" w:type="dxa"/>
            <w:tcBorders>
              <w:top w:val="single" w:sz="4" w:space="0" w:color="auto"/>
            </w:tcBorders>
          </w:tcPr>
          <w:p w14:paraId="7FD1062D" w14:textId="77777777" w:rsidR="00040722"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Industrial processes</w:t>
            </w:r>
            <w:r w:rsidR="00007332" w:rsidRPr="00C901F8">
              <w:rPr>
                <w:b w:val="0"/>
                <w:color w:val="auto"/>
                <w:sz w:val="20"/>
                <w:szCs w:val="20"/>
              </w:rPr>
              <w:t xml:space="preserve"> and products</w:t>
            </w:r>
          </w:p>
          <w:p w14:paraId="10E6DBD8" w14:textId="77777777" w:rsidR="00040722"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Technol</w:t>
            </w:r>
            <w:r w:rsidR="00040722" w:rsidRPr="00B4619D">
              <w:rPr>
                <w:b w:val="0"/>
                <w:color w:val="auto"/>
                <w:sz w:val="20"/>
                <w:szCs w:val="20"/>
              </w:rPr>
              <w:t>ogies</w:t>
            </w:r>
          </w:p>
          <w:p w14:paraId="038CABBD" w14:textId="77777777" w:rsidR="002E0334"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End of pipe or smokestack pollution control</w:t>
            </w:r>
          </w:p>
        </w:tc>
        <w:tc>
          <w:tcPr>
            <w:tcW w:w="2228" w:type="dxa"/>
            <w:tcBorders>
              <w:top w:val="single" w:sz="4" w:space="0" w:color="auto"/>
            </w:tcBorders>
          </w:tcPr>
          <w:p w14:paraId="46A522F7" w14:textId="77777777" w:rsidR="002E0334"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Prohibition of environmentally harmful technol</w:t>
            </w:r>
            <w:r w:rsidR="00040722" w:rsidRPr="00B4619D">
              <w:rPr>
                <w:b w:val="0"/>
                <w:color w:val="auto"/>
                <w:sz w:val="20"/>
                <w:szCs w:val="20"/>
              </w:rPr>
              <w:t>ogies</w:t>
            </w:r>
            <w:r w:rsidRPr="00C901F8">
              <w:rPr>
                <w:b w:val="0"/>
                <w:color w:val="auto"/>
                <w:sz w:val="20"/>
                <w:szCs w:val="20"/>
              </w:rPr>
              <w:t xml:space="preserve"> (products and processes) or demanding environmentally friendly technol</w:t>
            </w:r>
            <w:r w:rsidR="00040722" w:rsidRPr="00B4619D">
              <w:rPr>
                <w:b w:val="0"/>
                <w:color w:val="auto"/>
                <w:sz w:val="20"/>
                <w:szCs w:val="20"/>
              </w:rPr>
              <w:t>ogies</w:t>
            </w:r>
            <w:r w:rsidRPr="00C901F8">
              <w:rPr>
                <w:b w:val="0"/>
                <w:color w:val="auto"/>
                <w:sz w:val="20"/>
                <w:szCs w:val="20"/>
              </w:rPr>
              <w:t xml:space="preserve"> as part of permitting =&gt; reduced </w:t>
            </w:r>
            <w:r w:rsidR="00040722" w:rsidRPr="00B4619D">
              <w:rPr>
                <w:b w:val="0"/>
                <w:color w:val="auto"/>
                <w:sz w:val="20"/>
                <w:szCs w:val="20"/>
              </w:rPr>
              <w:t>emission</w:t>
            </w:r>
            <w:r w:rsidRPr="00C901F8">
              <w:rPr>
                <w:b w:val="0"/>
                <w:color w:val="auto"/>
                <w:sz w:val="20"/>
                <w:szCs w:val="20"/>
              </w:rPr>
              <w:t xml:space="preserve">s/resource use =&gt; if </w:t>
            </w:r>
            <w:r w:rsidR="00040722" w:rsidRPr="00B4619D">
              <w:rPr>
                <w:b w:val="0"/>
                <w:color w:val="auto"/>
                <w:sz w:val="20"/>
                <w:szCs w:val="20"/>
              </w:rPr>
              <w:t>emission</w:t>
            </w:r>
            <w:r w:rsidRPr="00C901F8">
              <w:rPr>
                <w:b w:val="0"/>
                <w:color w:val="auto"/>
                <w:sz w:val="20"/>
                <w:szCs w:val="20"/>
              </w:rPr>
              <w:t>s/resource use cannot be reduced enough by upstream controls, then improved waste management is needed.</w:t>
            </w:r>
            <w:r w:rsidR="006916F3" w:rsidRPr="00C901F8">
              <w:rPr>
                <w:b w:val="0"/>
                <w:color w:val="auto"/>
                <w:sz w:val="20"/>
                <w:szCs w:val="20"/>
              </w:rPr>
              <w:t xml:space="preserve"> </w:t>
            </w:r>
            <w:r w:rsidR="00276054" w:rsidRPr="00C901F8">
              <w:rPr>
                <w:b w:val="0"/>
                <w:color w:val="auto"/>
                <w:sz w:val="20"/>
                <w:szCs w:val="20"/>
              </w:rPr>
              <w:t xml:space="preserve">Can also </w:t>
            </w:r>
            <w:r w:rsidR="006916F3" w:rsidRPr="00C901F8">
              <w:rPr>
                <w:b w:val="0"/>
                <w:color w:val="auto"/>
                <w:sz w:val="20"/>
                <w:szCs w:val="20"/>
              </w:rPr>
              <w:t>address enabling issues such as property rights and access issues</w:t>
            </w:r>
          </w:p>
        </w:tc>
        <w:tc>
          <w:tcPr>
            <w:tcW w:w="1980" w:type="dxa"/>
            <w:tcBorders>
              <w:top w:val="single" w:sz="4" w:space="0" w:color="auto"/>
            </w:tcBorders>
          </w:tcPr>
          <w:p w14:paraId="483B2523" w14:textId="77777777" w:rsidR="00040722" w:rsidRPr="00C901F8" w:rsidRDefault="000228DA"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L</w:t>
            </w:r>
            <w:r w:rsidR="00024BBE" w:rsidRPr="00C901F8">
              <w:rPr>
                <w:b w:val="0"/>
                <w:color w:val="auto"/>
                <w:sz w:val="20"/>
                <w:szCs w:val="20"/>
              </w:rPr>
              <w:t xml:space="preserve">ack of </w:t>
            </w:r>
            <w:r w:rsidRPr="00C901F8">
              <w:rPr>
                <w:b w:val="0"/>
                <w:color w:val="auto"/>
                <w:sz w:val="20"/>
                <w:szCs w:val="20"/>
              </w:rPr>
              <w:t>monitoring</w:t>
            </w:r>
          </w:p>
          <w:p w14:paraId="200C8D87" w14:textId="77777777" w:rsidR="002E0334" w:rsidRPr="00C901F8" w:rsidRDefault="00870077"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C</w:t>
            </w:r>
            <w:r w:rsidR="00024BBE" w:rsidRPr="00C901F8">
              <w:rPr>
                <w:b w:val="0"/>
                <w:color w:val="auto"/>
                <w:sz w:val="20"/>
                <w:szCs w:val="20"/>
              </w:rPr>
              <w:t xml:space="preserve">orruption </w:t>
            </w:r>
          </w:p>
        </w:tc>
        <w:tc>
          <w:tcPr>
            <w:tcW w:w="1765" w:type="dxa"/>
            <w:tcBorders>
              <w:top w:val="single" w:sz="4" w:space="0" w:color="auto"/>
            </w:tcBorders>
          </w:tcPr>
          <w:p w14:paraId="1C9E3768" w14:textId="77777777" w:rsidR="00040722"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Costs for firms, harmful for competitiveness</w:t>
            </w:r>
          </w:p>
          <w:p w14:paraId="7CC04F91" w14:textId="77777777" w:rsidR="002E0334"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 xml:space="preserve">No incentives to innovate </w:t>
            </w:r>
          </w:p>
        </w:tc>
        <w:tc>
          <w:tcPr>
            <w:tcW w:w="1991" w:type="dxa"/>
            <w:tcBorders>
              <w:top w:val="single" w:sz="4" w:space="0" w:color="auto"/>
            </w:tcBorders>
          </w:tcPr>
          <w:p w14:paraId="78B9761E" w14:textId="77777777" w:rsidR="00040722"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Permitting processes/fines</w:t>
            </w:r>
          </w:p>
          <w:p w14:paraId="7DF55441" w14:textId="77777777" w:rsidR="00040722"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Discharge/</w:t>
            </w:r>
            <w:r w:rsidR="00040722" w:rsidRPr="00B4619D">
              <w:rPr>
                <w:b w:val="0"/>
                <w:color w:val="auto"/>
                <w:sz w:val="20"/>
                <w:szCs w:val="20"/>
              </w:rPr>
              <w:t>emission</w:t>
            </w:r>
            <w:r w:rsidRPr="00C901F8">
              <w:rPr>
                <w:b w:val="0"/>
                <w:color w:val="auto"/>
                <w:sz w:val="20"/>
                <w:szCs w:val="20"/>
              </w:rPr>
              <w:t xml:space="preserve"> standards</w:t>
            </w:r>
          </w:p>
          <w:p w14:paraId="47AE4F74" w14:textId="77777777" w:rsidR="00040722"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Total pollutant load caps</w:t>
            </w:r>
          </w:p>
          <w:p w14:paraId="052AE924" w14:textId="77777777" w:rsidR="00040722"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Real-time monitoring systems</w:t>
            </w:r>
          </w:p>
          <w:p w14:paraId="5A3EAEF1" w14:textId="77777777" w:rsidR="00416081" w:rsidRPr="00C901F8" w:rsidRDefault="00A32BB1"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Legal reviews</w:t>
            </w:r>
          </w:p>
        </w:tc>
        <w:tc>
          <w:tcPr>
            <w:tcW w:w="1991" w:type="dxa"/>
            <w:tcBorders>
              <w:top w:val="single" w:sz="4" w:space="0" w:color="auto"/>
            </w:tcBorders>
          </w:tcPr>
          <w:p w14:paraId="31CA3B7A" w14:textId="77777777" w:rsidR="00040722"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Administrative capacities</w:t>
            </w:r>
          </w:p>
          <w:p w14:paraId="36588EB0" w14:textId="77777777" w:rsidR="002E0334"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Self-reporting by industry</w:t>
            </w:r>
          </w:p>
        </w:tc>
      </w:tr>
      <w:tr w:rsidR="002E0334" w:rsidRPr="00C901F8" w14:paraId="6ABB3201" w14:textId="77777777" w:rsidTr="00EB28E7">
        <w:tc>
          <w:tcPr>
            <w:cnfStyle w:val="001000000000" w:firstRow="0" w:lastRow="0" w:firstColumn="1" w:lastColumn="0" w:oddVBand="0" w:evenVBand="0" w:oddHBand="0" w:evenHBand="0" w:firstRowFirstColumn="0" w:firstRowLastColumn="0" w:lastRowFirstColumn="0" w:lastRowLastColumn="0"/>
            <w:tcW w:w="1991" w:type="dxa"/>
          </w:tcPr>
          <w:p w14:paraId="480D24AC" w14:textId="77777777" w:rsidR="002E0334" w:rsidRPr="00C901F8" w:rsidRDefault="00024BBE" w:rsidP="00140B4A">
            <w:pPr>
              <w:pStyle w:val="TableText"/>
              <w:rPr>
                <w:color w:val="auto"/>
                <w:sz w:val="20"/>
                <w:szCs w:val="20"/>
              </w:rPr>
            </w:pPr>
            <w:r w:rsidRPr="00C901F8">
              <w:rPr>
                <w:color w:val="auto"/>
                <w:sz w:val="20"/>
                <w:szCs w:val="20"/>
              </w:rPr>
              <w:t xml:space="preserve">Promotion of innovation </w:t>
            </w:r>
          </w:p>
        </w:tc>
        <w:tc>
          <w:tcPr>
            <w:tcW w:w="1991" w:type="dxa"/>
          </w:tcPr>
          <w:p w14:paraId="3B44C2B6" w14:textId="77777777" w:rsidR="002E0334"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 xml:space="preserve">Green innovation </w:t>
            </w:r>
          </w:p>
        </w:tc>
        <w:tc>
          <w:tcPr>
            <w:tcW w:w="2228" w:type="dxa"/>
          </w:tcPr>
          <w:p w14:paraId="57EE8CFE" w14:textId="77777777" w:rsidR="002E0334"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Incentivizing R&amp;D in green technol</w:t>
            </w:r>
            <w:r w:rsidR="00040722" w:rsidRPr="00B4619D">
              <w:rPr>
                <w:b w:val="0"/>
                <w:color w:val="auto"/>
                <w:sz w:val="20"/>
                <w:szCs w:val="20"/>
              </w:rPr>
              <w:t>ogies</w:t>
            </w:r>
            <w:r w:rsidRPr="00C901F8">
              <w:rPr>
                <w:b w:val="0"/>
                <w:color w:val="auto"/>
                <w:sz w:val="20"/>
                <w:szCs w:val="20"/>
              </w:rPr>
              <w:t xml:space="preserve"> =&gt; introducing green technol</w:t>
            </w:r>
            <w:r w:rsidR="00040722" w:rsidRPr="00B4619D">
              <w:rPr>
                <w:b w:val="0"/>
                <w:color w:val="auto"/>
                <w:sz w:val="20"/>
                <w:szCs w:val="20"/>
              </w:rPr>
              <w:t>ogies</w:t>
            </w:r>
            <w:r w:rsidRPr="00C901F8">
              <w:rPr>
                <w:b w:val="0"/>
                <w:color w:val="auto"/>
                <w:sz w:val="20"/>
                <w:szCs w:val="20"/>
              </w:rPr>
              <w:t xml:space="preserve"> to markets (=&gt; cost savings + exports)</w:t>
            </w:r>
          </w:p>
        </w:tc>
        <w:tc>
          <w:tcPr>
            <w:tcW w:w="1980" w:type="dxa"/>
          </w:tcPr>
          <w:p w14:paraId="75A3D40C" w14:textId="77777777" w:rsidR="002E0334"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 xml:space="preserve">Spill over </w:t>
            </w:r>
          </w:p>
        </w:tc>
        <w:tc>
          <w:tcPr>
            <w:tcW w:w="1765" w:type="dxa"/>
          </w:tcPr>
          <w:p w14:paraId="290AC027" w14:textId="77777777" w:rsidR="002E0334"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Additional costs</w:t>
            </w:r>
          </w:p>
        </w:tc>
        <w:tc>
          <w:tcPr>
            <w:tcW w:w="1991" w:type="dxa"/>
          </w:tcPr>
          <w:p w14:paraId="1C7A724F" w14:textId="77777777" w:rsidR="002E0334"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Subsidies, tax relief for R&amp;D, green procurement</w:t>
            </w:r>
          </w:p>
        </w:tc>
        <w:tc>
          <w:tcPr>
            <w:tcW w:w="1991" w:type="dxa"/>
          </w:tcPr>
          <w:p w14:paraId="208007E2" w14:textId="77777777" w:rsidR="002E0334"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 xml:space="preserve">Public </w:t>
            </w:r>
            <w:r w:rsidR="00CA35F9" w:rsidRPr="00C901F8">
              <w:rPr>
                <w:b w:val="0"/>
                <w:color w:val="auto"/>
                <w:sz w:val="20"/>
                <w:szCs w:val="20"/>
              </w:rPr>
              <w:t xml:space="preserve">and private </w:t>
            </w:r>
            <w:r w:rsidRPr="00C901F8">
              <w:rPr>
                <w:b w:val="0"/>
                <w:color w:val="auto"/>
                <w:sz w:val="20"/>
                <w:szCs w:val="20"/>
              </w:rPr>
              <w:t>budgets</w:t>
            </w:r>
          </w:p>
        </w:tc>
      </w:tr>
      <w:tr w:rsidR="002E0334" w:rsidRPr="00C901F8" w14:paraId="2E357878" w14:textId="77777777" w:rsidTr="00EB2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14:paraId="2A7A4674" w14:textId="77777777" w:rsidR="002E0334" w:rsidRPr="00C901F8" w:rsidRDefault="00041175" w:rsidP="00140B4A">
            <w:pPr>
              <w:pStyle w:val="TableText"/>
              <w:rPr>
                <w:color w:val="auto"/>
                <w:sz w:val="20"/>
                <w:szCs w:val="20"/>
              </w:rPr>
            </w:pPr>
            <w:r w:rsidRPr="00C901F8">
              <w:rPr>
                <w:color w:val="auto"/>
                <w:sz w:val="20"/>
                <w:szCs w:val="20"/>
              </w:rPr>
              <w:t>Market</w:t>
            </w:r>
            <w:r w:rsidR="00276054">
              <w:rPr>
                <w:color w:val="auto"/>
                <w:sz w:val="20"/>
                <w:szCs w:val="20"/>
              </w:rPr>
              <w:t>-</w:t>
            </w:r>
            <w:r w:rsidRPr="00C901F8">
              <w:rPr>
                <w:color w:val="auto"/>
                <w:sz w:val="20"/>
                <w:szCs w:val="20"/>
              </w:rPr>
              <w:t>based/</w:t>
            </w:r>
            <w:r w:rsidR="00276054" w:rsidRPr="00C901F8">
              <w:rPr>
                <w:color w:val="auto"/>
                <w:sz w:val="20"/>
                <w:szCs w:val="20"/>
              </w:rPr>
              <w:t xml:space="preserve">economic </w:t>
            </w:r>
            <w:r w:rsidR="00024BBE" w:rsidRPr="00C901F8">
              <w:rPr>
                <w:color w:val="auto"/>
                <w:sz w:val="20"/>
                <w:szCs w:val="20"/>
              </w:rPr>
              <w:t xml:space="preserve">incentives </w:t>
            </w:r>
          </w:p>
        </w:tc>
        <w:tc>
          <w:tcPr>
            <w:tcW w:w="1991" w:type="dxa"/>
          </w:tcPr>
          <w:p w14:paraId="2FED8DCF" w14:textId="77777777" w:rsidR="002E0334"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 xml:space="preserve">Pricing of products or processes </w:t>
            </w:r>
          </w:p>
        </w:tc>
        <w:tc>
          <w:tcPr>
            <w:tcW w:w="2228" w:type="dxa"/>
          </w:tcPr>
          <w:p w14:paraId="4766047B" w14:textId="77777777" w:rsidR="00040722"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Change of relative prices between environmentally harmful and green technol</w:t>
            </w:r>
            <w:r w:rsidR="00040722" w:rsidRPr="00B4619D">
              <w:rPr>
                <w:b w:val="0"/>
                <w:color w:val="auto"/>
                <w:sz w:val="20"/>
                <w:szCs w:val="20"/>
              </w:rPr>
              <w:t>ogies</w:t>
            </w:r>
          </w:p>
          <w:p w14:paraId="2FC6CB0F" w14:textId="77777777" w:rsidR="00040722"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=&gt; increased markets for green services;</w:t>
            </w:r>
          </w:p>
          <w:p w14:paraId="7868D942" w14:textId="77777777" w:rsidR="002E0334"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 xml:space="preserve">=&gt; incentives to innovate and disincentives to </w:t>
            </w:r>
            <w:r w:rsidRPr="00C901F8">
              <w:rPr>
                <w:b w:val="0"/>
                <w:color w:val="auto"/>
                <w:sz w:val="20"/>
                <w:szCs w:val="20"/>
              </w:rPr>
              <w:lastRenderedPageBreak/>
              <w:t>cause environmental harm</w:t>
            </w:r>
          </w:p>
        </w:tc>
        <w:tc>
          <w:tcPr>
            <w:tcW w:w="1980" w:type="dxa"/>
          </w:tcPr>
          <w:p w14:paraId="6963BEDF" w14:textId="77777777" w:rsidR="002E0334" w:rsidRPr="00C901F8" w:rsidRDefault="00F61C90"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lastRenderedPageBreak/>
              <w:t>Lack of significance</w:t>
            </w:r>
            <w:r w:rsidR="00B20E2F" w:rsidRPr="00C901F8">
              <w:rPr>
                <w:b w:val="0"/>
                <w:color w:val="auto"/>
                <w:sz w:val="20"/>
                <w:szCs w:val="20"/>
              </w:rPr>
              <w:t xml:space="preserve"> within the overall context of consumer budgets and/or industrial </w:t>
            </w:r>
            <w:r w:rsidR="00040722" w:rsidRPr="005E6BFA">
              <w:rPr>
                <w:b w:val="0"/>
                <w:color w:val="auto"/>
                <w:sz w:val="20"/>
                <w:szCs w:val="20"/>
              </w:rPr>
              <w:t>capital</w:t>
            </w:r>
            <w:r w:rsidR="00B20E2F" w:rsidRPr="00C901F8">
              <w:rPr>
                <w:b w:val="0"/>
                <w:color w:val="auto"/>
                <w:sz w:val="20"/>
                <w:szCs w:val="20"/>
              </w:rPr>
              <w:t xml:space="preserve"> plans</w:t>
            </w:r>
            <w:r w:rsidR="00B20E2F" w:rsidRPr="00C901F8" w:rsidDel="00CA35F9">
              <w:rPr>
                <w:b w:val="0"/>
                <w:color w:val="auto"/>
                <w:sz w:val="20"/>
                <w:szCs w:val="20"/>
              </w:rPr>
              <w:t xml:space="preserve"> </w:t>
            </w:r>
          </w:p>
        </w:tc>
        <w:tc>
          <w:tcPr>
            <w:tcW w:w="1765" w:type="dxa"/>
          </w:tcPr>
          <w:p w14:paraId="329E61A1" w14:textId="77777777" w:rsidR="00040722"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 xml:space="preserve">Distributional/ </w:t>
            </w:r>
            <w:r w:rsidR="00276054" w:rsidRPr="00C901F8">
              <w:rPr>
                <w:b w:val="0"/>
                <w:color w:val="auto"/>
                <w:sz w:val="20"/>
                <w:szCs w:val="20"/>
              </w:rPr>
              <w:t xml:space="preserve">regressive </w:t>
            </w:r>
            <w:r w:rsidRPr="00C901F8">
              <w:rPr>
                <w:b w:val="0"/>
                <w:color w:val="auto"/>
                <w:sz w:val="20"/>
                <w:szCs w:val="20"/>
              </w:rPr>
              <w:t>impacts, harmful for competitiveness</w:t>
            </w:r>
          </w:p>
          <w:p w14:paraId="0114378E" w14:textId="77777777" w:rsidR="00CA35F9" w:rsidRPr="00C901F8" w:rsidRDefault="00CA35F9"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Retrofitting costs for existing industries</w:t>
            </w:r>
          </w:p>
        </w:tc>
        <w:tc>
          <w:tcPr>
            <w:tcW w:w="1991" w:type="dxa"/>
          </w:tcPr>
          <w:p w14:paraId="7FA402CC" w14:textId="77777777" w:rsidR="002E0334" w:rsidRPr="00C901F8" w:rsidRDefault="008F139D"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C</w:t>
            </w:r>
            <w:r w:rsidR="00024BBE" w:rsidRPr="00C901F8">
              <w:rPr>
                <w:b w:val="0"/>
                <w:color w:val="auto"/>
                <w:sz w:val="20"/>
                <w:szCs w:val="20"/>
              </w:rPr>
              <w:t xml:space="preserve">ap and trade, public procurement, removal of subsidies </w:t>
            </w:r>
          </w:p>
        </w:tc>
        <w:tc>
          <w:tcPr>
            <w:tcW w:w="1991" w:type="dxa"/>
          </w:tcPr>
          <w:p w14:paraId="520C3F80" w14:textId="77777777" w:rsidR="00040722"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Private investment in new products or processes</w:t>
            </w:r>
          </w:p>
          <w:p w14:paraId="3AECEC63" w14:textId="77777777" w:rsidR="002E0334"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Effective tax regimes</w:t>
            </w:r>
          </w:p>
        </w:tc>
      </w:tr>
      <w:tr w:rsidR="002E0334" w:rsidRPr="00C901F8" w14:paraId="71521996" w14:textId="77777777" w:rsidTr="00EB28E7">
        <w:tc>
          <w:tcPr>
            <w:cnfStyle w:val="001000000000" w:firstRow="0" w:lastRow="0" w:firstColumn="1" w:lastColumn="0" w:oddVBand="0" w:evenVBand="0" w:oddHBand="0" w:evenHBand="0" w:firstRowFirstColumn="0" w:firstRowLastColumn="0" w:lastRowFirstColumn="0" w:lastRowLastColumn="0"/>
            <w:tcW w:w="1991" w:type="dxa"/>
          </w:tcPr>
          <w:p w14:paraId="545B59A7" w14:textId="77777777" w:rsidR="002E0334" w:rsidRPr="00C901F8" w:rsidRDefault="00024BBE" w:rsidP="00140B4A">
            <w:pPr>
              <w:pStyle w:val="TableText"/>
              <w:rPr>
                <w:color w:val="auto"/>
                <w:sz w:val="20"/>
                <w:szCs w:val="20"/>
              </w:rPr>
            </w:pPr>
            <w:r w:rsidRPr="00C901F8">
              <w:rPr>
                <w:color w:val="auto"/>
                <w:sz w:val="20"/>
                <w:szCs w:val="20"/>
              </w:rPr>
              <w:t xml:space="preserve">Convincing consumers, employees and stockholders </w:t>
            </w:r>
          </w:p>
        </w:tc>
        <w:tc>
          <w:tcPr>
            <w:tcW w:w="1991" w:type="dxa"/>
          </w:tcPr>
          <w:p w14:paraId="4F8B2F23" w14:textId="77777777" w:rsidR="002E0334" w:rsidRPr="00C901F8" w:rsidRDefault="008F139D"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 xml:space="preserve">Public information, </w:t>
            </w:r>
            <w:r w:rsidR="00F004A9" w:rsidRPr="00C901F8">
              <w:rPr>
                <w:b w:val="0"/>
                <w:color w:val="auto"/>
                <w:sz w:val="20"/>
                <w:szCs w:val="20"/>
              </w:rPr>
              <w:t xml:space="preserve">education, </w:t>
            </w:r>
            <w:r w:rsidRPr="00C901F8">
              <w:rPr>
                <w:b w:val="0"/>
                <w:color w:val="auto"/>
                <w:sz w:val="20"/>
                <w:szCs w:val="20"/>
              </w:rPr>
              <w:t>k</w:t>
            </w:r>
            <w:r w:rsidR="00024BBE" w:rsidRPr="00C901F8">
              <w:rPr>
                <w:b w:val="0"/>
                <w:color w:val="auto"/>
                <w:sz w:val="20"/>
                <w:szCs w:val="20"/>
              </w:rPr>
              <w:t>nowledge, awareness, advocacy</w:t>
            </w:r>
          </w:p>
        </w:tc>
        <w:tc>
          <w:tcPr>
            <w:tcW w:w="2228" w:type="dxa"/>
          </w:tcPr>
          <w:p w14:paraId="299C38E5" w14:textId="77777777" w:rsidR="002E0334"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Knowledgeable consumers and producers will voluntarily choose environmentally sound products and processes</w:t>
            </w:r>
          </w:p>
        </w:tc>
        <w:tc>
          <w:tcPr>
            <w:tcW w:w="1980" w:type="dxa"/>
          </w:tcPr>
          <w:p w14:paraId="693F613C" w14:textId="77777777" w:rsidR="00040722"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Cost disincentives</w:t>
            </w:r>
          </w:p>
          <w:p w14:paraId="3F8235E8" w14:textId="77777777" w:rsidR="002E0334"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Inadequate supply of alternative products and processes</w:t>
            </w:r>
          </w:p>
        </w:tc>
        <w:tc>
          <w:tcPr>
            <w:tcW w:w="1765" w:type="dxa"/>
          </w:tcPr>
          <w:p w14:paraId="015AC978" w14:textId="77777777" w:rsidR="002E0334"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Power imbalances cause poor choices by consumers</w:t>
            </w:r>
          </w:p>
        </w:tc>
        <w:tc>
          <w:tcPr>
            <w:tcW w:w="1991" w:type="dxa"/>
          </w:tcPr>
          <w:p w14:paraId="12EFBF50" w14:textId="77777777" w:rsidR="00040722"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Campaigning</w:t>
            </w:r>
          </w:p>
          <w:p w14:paraId="128B14D1" w14:textId="77777777" w:rsidR="00040722"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Labelling</w:t>
            </w:r>
          </w:p>
          <w:p w14:paraId="7CAA501B" w14:textId="77777777" w:rsidR="00040722" w:rsidRPr="00C901F8" w:rsidRDefault="00F004A9"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Certifying</w:t>
            </w:r>
          </w:p>
          <w:p w14:paraId="2CD00A84" w14:textId="77777777" w:rsidR="00040722"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Nudging</w:t>
            </w:r>
          </w:p>
          <w:p w14:paraId="44303EFF" w14:textId="77777777" w:rsidR="002E0334"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 xml:space="preserve">Stockholder voting blocs </w:t>
            </w:r>
          </w:p>
        </w:tc>
        <w:tc>
          <w:tcPr>
            <w:tcW w:w="1991" w:type="dxa"/>
          </w:tcPr>
          <w:p w14:paraId="09ED9CB3" w14:textId="77777777" w:rsidR="00040722"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Media and stock markets</w:t>
            </w:r>
          </w:p>
          <w:p w14:paraId="7BA12D41" w14:textId="77777777" w:rsidR="002E0334"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Education system</w:t>
            </w:r>
          </w:p>
        </w:tc>
      </w:tr>
      <w:tr w:rsidR="002E0334" w:rsidRPr="00C901F8" w14:paraId="031D86D2" w14:textId="77777777" w:rsidTr="00EB2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Borders>
              <w:bottom w:val="nil"/>
            </w:tcBorders>
          </w:tcPr>
          <w:p w14:paraId="75AC7CCF" w14:textId="77777777" w:rsidR="002E0334" w:rsidRPr="00C901F8" w:rsidRDefault="00024BBE" w:rsidP="00140B4A">
            <w:pPr>
              <w:pStyle w:val="TableText"/>
              <w:rPr>
                <w:color w:val="auto"/>
                <w:sz w:val="20"/>
                <w:szCs w:val="20"/>
              </w:rPr>
            </w:pPr>
            <w:r w:rsidRPr="00C901F8">
              <w:rPr>
                <w:color w:val="auto"/>
                <w:sz w:val="20"/>
                <w:szCs w:val="20"/>
              </w:rPr>
              <w:t xml:space="preserve">Enabling actors </w:t>
            </w:r>
          </w:p>
        </w:tc>
        <w:tc>
          <w:tcPr>
            <w:tcW w:w="1991" w:type="dxa"/>
            <w:tcBorders>
              <w:bottom w:val="nil"/>
            </w:tcBorders>
          </w:tcPr>
          <w:p w14:paraId="753D11FF" w14:textId="77777777" w:rsidR="002E0334"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 xml:space="preserve">Environmental actors </w:t>
            </w:r>
          </w:p>
        </w:tc>
        <w:tc>
          <w:tcPr>
            <w:tcW w:w="2228" w:type="dxa"/>
            <w:tcBorders>
              <w:bottom w:val="nil"/>
            </w:tcBorders>
          </w:tcPr>
          <w:p w14:paraId="42E86D21" w14:textId="77777777" w:rsidR="002E0334"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 xml:space="preserve">Strengthening participation of governmental and </w:t>
            </w:r>
            <w:r w:rsidR="00040722" w:rsidRPr="005E6BFA">
              <w:rPr>
                <w:b w:val="0"/>
                <w:color w:val="auto"/>
                <w:sz w:val="20"/>
                <w:szCs w:val="20"/>
              </w:rPr>
              <w:t>non</w:t>
            </w:r>
            <w:r w:rsidR="00040722" w:rsidRPr="00B4619D">
              <w:rPr>
                <w:b w:val="0"/>
                <w:color w:val="auto"/>
                <w:sz w:val="20"/>
                <w:szCs w:val="20"/>
              </w:rPr>
              <w:t>-</w:t>
            </w:r>
            <w:r w:rsidRPr="00C901F8">
              <w:rPr>
                <w:b w:val="0"/>
                <w:color w:val="auto"/>
                <w:sz w:val="20"/>
                <w:szCs w:val="20"/>
              </w:rPr>
              <w:t>gov</w:t>
            </w:r>
            <w:r w:rsidR="008318ED">
              <w:rPr>
                <w:b w:val="0"/>
                <w:color w:val="auto"/>
                <w:sz w:val="20"/>
                <w:szCs w:val="20"/>
              </w:rPr>
              <w:t>ernmental</w:t>
            </w:r>
            <w:r w:rsidRPr="00C901F8">
              <w:rPr>
                <w:b w:val="0"/>
                <w:color w:val="auto"/>
                <w:sz w:val="20"/>
                <w:szCs w:val="20"/>
              </w:rPr>
              <w:t xml:space="preserve"> actors in </w:t>
            </w:r>
            <w:r w:rsidR="00040722" w:rsidRPr="005E6BFA">
              <w:rPr>
                <w:b w:val="0"/>
                <w:color w:val="auto"/>
                <w:sz w:val="20"/>
                <w:szCs w:val="20"/>
              </w:rPr>
              <w:t>decision-making</w:t>
            </w:r>
            <w:r w:rsidRPr="00C901F8">
              <w:rPr>
                <w:b w:val="0"/>
                <w:color w:val="auto"/>
                <w:sz w:val="20"/>
                <w:szCs w:val="20"/>
              </w:rPr>
              <w:t xml:space="preserve"> on policies or projects </w:t>
            </w:r>
            <w:r w:rsidR="001F1AED">
              <w:rPr>
                <w:b w:val="0"/>
                <w:color w:val="auto"/>
                <w:sz w:val="20"/>
                <w:szCs w:val="20"/>
              </w:rPr>
              <w:t>leading to</w:t>
            </w:r>
            <w:r w:rsidR="001F1AED" w:rsidRPr="00C901F8">
              <w:rPr>
                <w:b w:val="0"/>
                <w:color w:val="auto"/>
                <w:sz w:val="20"/>
                <w:szCs w:val="20"/>
              </w:rPr>
              <w:t xml:space="preserve"> </w:t>
            </w:r>
            <w:r w:rsidRPr="00C901F8">
              <w:rPr>
                <w:b w:val="0"/>
                <w:color w:val="auto"/>
                <w:sz w:val="20"/>
                <w:szCs w:val="20"/>
              </w:rPr>
              <w:t xml:space="preserve">improved project design and implementation </w:t>
            </w:r>
          </w:p>
        </w:tc>
        <w:tc>
          <w:tcPr>
            <w:tcW w:w="1980" w:type="dxa"/>
            <w:tcBorders>
              <w:bottom w:val="nil"/>
            </w:tcBorders>
          </w:tcPr>
          <w:p w14:paraId="69AF70D0" w14:textId="77777777" w:rsidR="002E0334"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Environmentally disinclined actors may wield more power</w:t>
            </w:r>
          </w:p>
        </w:tc>
        <w:tc>
          <w:tcPr>
            <w:tcW w:w="1765" w:type="dxa"/>
            <w:tcBorders>
              <w:bottom w:val="nil"/>
            </w:tcBorders>
          </w:tcPr>
          <w:p w14:paraId="0A87D600" w14:textId="77777777" w:rsidR="002E0334"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Access to all relevant information, skill levels</w:t>
            </w:r>
          </w:p>
        </w:tc>
        <w:tc>
          <w:tcPr>
            <w:tcW w:w="1991" w:type="dxa"/>
            <w:tcBorders>
              <w:bottom w:val="nil"/>
            </w:tcBorders>
          </w:tcPr>
          <w:p w14:paraId="182969D6" w14:textId="77777777" w:rsidR="002E0334"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 xml:space="preserve">Access to information, requirements on transparency, enabling participation, requesting evidence base (EIA, SEA, IA), legal review </w:t>
            </w:r>
          </w:p>
        </w:tc>
        <w:tc>
          <w:tcPr>
            <w:tcW w:w="1991" w:type="dxa"/>
            <w:tcBorders>
              <w:bottom w:val="nil"/>
            </w:tcBorders>
          </w:tcPr>
          <w:p w14:paraId="07CDF430" w14:textId="77777777" w:rsidR="002E0334" w:rsidRPr="00C901F8" w:rsidRDefault="00024BBE" w:rsidP="00140B4A">
            <w:pPr>
              <w:pStyle w:val="TableText"/>
              <w:cnfStyle w:val="000000100000" w:firstRow="0" w:lastRow="0" w:firstColumn="0" w:lastColumn="0" w:oddVBand="0" w:evenVBand="0" w:oddHBand="1" w:evenHBand="0" w:firstRowFirstColumn="0" w:firstRowLastColumn="0" w:lastRowFirstColumn="0" w:lastRowLastColumn="0"/>
              <w:rPr>
                <w:b w:val="0"/>
                <w:color w:val="auto"/>
                <w:sz w:val="20"/>
                <w:szCs w:val="20"/>
              </w:rPr>
            </w:pPr>
            <w:r w:rsidRPr="00C901F8">
              <w:rPr>
                <w:b w:val="0"/>
                <w:color w:val="auto"/>
                <w:sz w:val="20"/>
                <w:szCs w:val="20"/>
              </w:rPr>
              <w:t>Environmental and social safeguards</w:t>
            </w:r>
          </w:p>
        </w:tc>
      </w:tr>
      <w:tr w:rsidR="002E0334" w:rsidRPr="00C901F8" w14:paraId="237CDFC8" w14:textId="77777777" w:rsidTr="00EB28E7">
        <w:tc>
          <w:tcPr>
            <w:cnfStyle w:val="001000000000" w:firstRow="0" w:lastRow="0" w:firstColumn="1" w:lastColumn="0" w:oddVBand="0" w:evenVBand="0" w:oddHBand="0" w:evenHBand="0" w:firstRowFirstColumn="0" w:firstRowLastColumn="0" w:lastRowFirstColumn="0" w:lastRowLastColumn="0"/>
            <w:tcW w:w="1991" w:type="dxa"/>
            <w:tcBorders>
              <w:top w:val="nil"/>
              <w:bottom w:val="single" w:sz="4" w:space="0" w:color="auto"/>
            </w:tcBorders>
          </w:tcPr>
          <w:p w14:paraId="1EC9CE4E" w14:textId="77777777" w:rsidR="002E0334" w:rsidRPr="00C901F8" w:rsidRDefault="00024BBE" w:rsidP="00140B4A">
            <w:pPr>
              <w:pStyle w:val="TableText"/>
              <w:rPr>
                <w:color w:val="auto"/>
                <w:sz w:val="20"/>
                <w:szCs w:val="20"/>
              </w:rPr>
            </w:pPr>
            <w:r w:rsidRPr="00C901F8">
              <w:rPr>
                <w:color w:val="auto"/>
                <w:sz w:val="20"/>
                <w:szCs w:val="20"/>
              </w:rPr>
              <w:t xml:space="preserve">Supporting investments </w:t>
            </w:r>
          </w:p>
        </w:tc>
        <w:tc>
          <w:tcPr>
            <w:tcW w:w="1991" w:type="dxa"/>
            <w:tcBorders>
              <w:top w:val="nil"/>
              <w:bottom w:val="single" w:sz="4" w:space="0" w:color="auto"/>
            </w:tcBorders>
          </w:tcPr>
          <w:p w14:paraId="3EFC39AA" w14:textId="77777777" w:rsidR="002E0334"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Infrastructure and technol</w:t>
            </w:r>
            <w:r w:rsidR="00040722" w:rsidRPr="00B4619D">
              <w:rPr>
                <w:b w:val="0"/>
                <w:color w:val="auto"/>
                <w:sz w:val="20"/>
                <w:szCs w:val="20"/>
              </w:rPr>
              <w:t>ogies</w:t>
            </w:r>
          </w:p>
        </w:tc>
        <w:tc>
          <w:tcPr>
            <w:tcW w:w="2228" w:type="dxa"/>
            <w:tcBorders>
              <w:top w:val="nil"/>
              <w:bottom w:val="single" w:sz="4" w:space="0" w:color="auto"/>
            </w:tcBorders>
          </w:tcPr>
          <w:p w14:paraId="6D3D097E" w14:textId="652732BF" w:rsidR="002E0334" w:rsidRPr="00C901F8" w:rsidRDefault="00040722"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w:t>
            </w:r>
            <w:r w:rsidR="00024BBE" w:rsidRPr="00C901F8">
              <w:rPr>
                <w:b w:val="0"/>
                <w:color w:val="auto"/>
                <w:sz w:val="20"/>
                <w:szCs w:val="20"/>
              </w:rPr>
              <w:t>Green</w:t>
            </w:r>
            <w:r w:rsidRPr="00C901F8">
              <w:rPr>
                <w:b w:val="0"/>
                <w:color w:val="auto"/>
                <w:sz w:val="20"/>
                <w:szCs w:val="20"/>
              </w:rPr>
              <w:t>’</w:t>
            </w:r>
            <w:r w:rsidR="00024BBE" w:rsidRPr="00C901F8">
              <w:rPr>
                <w:b w:val="0"/>
                <w:color w:val="auto"/>
                <w:sz w:val="20"/>
                <w:szCs w:val="20"/>
              </w:rPr>
              <w:t xml:space="preserve"> infrastructure (waste management, electricity grids for renewables, rail</w:t>
            </w:r>
            <w:r w:rsidR="008318ED">
              <w:rPr>
                <w:b w:val="0"/>
                <w:color w:val="auto"/>
                <w:sz w:val="20"/>
                <w:szCs w:val="20"/>
              </w:rPr>
              <w:t>way</w:t>
            </w:r>
            <w:r w:rsidR="00024BBE" w:rsidRPr="00C901F8">
              <w:rPr>
                <w:b w:val="0"/>
                <w:color w:val="auto"/>
                <w:sz w:val="20"/>
                <w:szCs w:val="20"/>
              </w:rPr>
              <w:t xml:space="preserve">s, etc.) =&gt; enabling market access </w:t>
            </w:r>
            <w:r w:rsidR="00F2562D">
              <w:rPr>
                <w:b w:val="0"/>
                <w:color w:val="auto"/>
                <w:sz w:val="20"/>
                <w:szCs w:val="20"/>
              </w:rPr>
              <w:t>for</w:t>
            </w:r>
            <w:r w:rsidR="00024BBE" w:rsidRPr="00C901F8">
              <w:rPr>
                <w:b w:val="0"/>
                <w:color w:val="auto"/>
                <w:sz w:val="20"/>
                <w:szCs w:val="20"/>
              </w:rPr>
              <w:t xml:space="preserve"> green technol</w:t>
            </w:r>
            <w:r w:rsidRPr="00B4619D">
              <w:rPr>
                <w:b w:val="0"/>
                <w:color w:val="auto"/>
                <w:sz w:val="20"/>
                <w:szCs w:val="20"/>
              </w:rPr>
              <w:t>ogies</w:t>
            </w:r>
            <w:r w:rsidR="00024BBE" w:rsidRPr="00C901F8">
              <w:rPr>
                <w:b w:val="0"/>
                <w:color w:val="auto"/>
                <w:sz w:val="20"/>
                <w:szCs w:val="20"/>
              </w:rPr>
              <w:t xml:space="preserve"> =&gt; demand for increased access</w:t>
            </w:r>
          </w:p>
        </w:tc>
        <w:tc>
          <w:tcPr>
            <w:tcW w:w="1980" w:type="dxa"/>
            <w:tcBorders>
              <w:top w:val="nil"/>
              <w:bottom w:val="single" w:sz="4" w:space="0" w:color="auto"/>
            </w:tcBorders>
          </w:tcPr>
          <w:p w14:paraId="59A225B3" w14:textId="77777777" w:rsidR="002E0334"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Incremental costs</w:t>
            </w:r>
          </w:p>
        </w:tc>
        <w:tc>
          <w:tcPr>
            <w:tcW w:w="1765" w:type="dxa"/>
            <w:tcBorders>
              <w:top w:val="nil"/>
              <w:bottom w:val="single" w:sz="4" w:space="0" w:color="auto"/>
            </w:tcBorders>
          </w:tcPr>
          <w:p w14:paraId="3C8D38D7" w14:textId="77777777" w:rsidR="002E0334"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 xml:space="preserve">Uncertainty in relation to future impacts </w:t>
            </w:r>
            <w:r w:rsidR="008318ED">
              <w:rPr>
                <w:b w:val="0"/>
                <w:color w:val="auto"/>
                <w:sz w:val="20"/>
                <w:szCs w:val="20"/>
              </w:rPr>
              <w:t>such as</w:t>
            </w:r>
            <w:r w:rsidR="008318ED" w:rsidRPr="00C901F8">
              <w:rPr>
                <w:b w:val="0"/>
                <w:color w:val="auto"/>
                <w:sz w:val="20"/>
                <w:szCs w:val="20"/>
              </w:rPr>
              <w:t xml:space="preserve"> </w:t>
            </w:r>
            <w:r w:rsidRPr="00C901F8">
              <w:rPr>
                <w:b w:val="0"/>
                <w:color w:val="auto"/>
                <w:sz w:val="20"/>
                <w:szCs w:val="20"/>
              </w:rPr>
              <w:t>climate change could cause maladaptation</w:t>
            </w:r>
          </w:p>
        </w:tc>
        <w:tc>
          <w:tcPr>
            <w:tcW w:w="1991" w:type="dxa"/>
            <w:tcBorders>
              <w:top w:val="nil"/>
              <w:bottom w:val="single" w:sz="4" w:space="0" w:color="auto"/>
            </w:tcBorders>
          </w:tcPr>
          <w:p w14:paraId="10CA70C4" w14:textId="77777777" w:rsidR="00040722"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Climate</w:t>
            </w:r>
            <w:r w:rsidR="008318ED">
              <w:rPr>
                <w:b w:val="0"/>
                <w:color w:val="auto"/>
                <w:sz w:val="20"/>
                <w:szCs w:val="20"/>
              </w:rPr>
              <w:t>-</w:t>
            </w:r>
            <w:r w:rsidRPr="00C901F8">
              <w:rPr>
                <w:b w:val="0"/>
                <w:color w:val="auto"/>
                <w:sz w:val="20"/>
                <w:szCs w:val="20"/>
              </w:rPr>
              <w:t>proofing infrastructure</w:t>
            </w:r>
          </w:p>
          <w:p w14:paraId="4154CED1" w14:textId="77777777" w:rsidR="002E0334"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Green investment funds</w:t>
            </w:r>
          </w:p>
        </w:tc>
        <w:tc>
          <w:tcPr>
            <w:tcW w:w="1991" w:type="dxa"/>
            <w:tcBorders>
              <w:top w:val="nil"/>
              <w:bottom w:val="single" w:sz="4" w:space="0" w:color="auto"/>
            </w:tcBorders>
          </w:tcPr>
          <w:p w14:paraId="6D8F09EE" w14:textId="77777777" w:rsidR="002E0334" w:rsidRPr="00C901F8" w:rsidRDefault="00024BBE" w:rsidP="00140B4A">
            <w:pPr>
              <w:pStyle w:val="TableTex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C901F8">
              <w:rPr>
                <w:b w:val="0"/>
                <w:color w:val="auto"/>
                <w:sz w:val="20"/>
                <w:szCs w:val="20"/>
              </w:rPr>
              <w:t>Public-private partnerships</w:t>
            </w:r>
          </w:p>
        </w:tc>
      </w:tr>
      <w:tr w:rsidR="00F504BE" w:rsidRPr="00C901F8" w14:paraId="570CB8D3" w14:textId="77777777" w:rsidTr="00EB2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7" w:type="dxa"/>
            <w:gridSpan w:val="7"/>
            <w:tcBorders>
              <w:top w:val="single" w:sz="4" w:space="0" w:color="auto"/>
            </w:tcBorders>
            <w:shd w:val="clear" w:color="auto" w:fill="auto"/>
          </w:tcPr>
          <w:p w14:paraId="08A1B9ED" w14:textId="1F35F29C" w:rsidR="00F504BE" w:rsidRDefault="00F504BE" w:rsidP="005E6BFA">
            <w:pPr>
              <w:pStyle w:val="TableText"/>
              <w:pBdr>
                <w:bottom w:val="none" w:sz="0" w:space="0" w:color="auto"/>
              </w:pBdr>
              <w:rPr>
                <w:color w:val="auto"/>
                <w:sz w:val="20"/>
                <w:szCs w:val="20"/>
              </w:rPr>
            </w:pPr>
            <w:r w:rsidRPr="00276054">
              <w:rPr>
                <w:color w:val="auto"/>
                <w:sz w:val="20"/>
                <w:szCs w:val="20"/>
                <w:vertAlign w:val="superscript"/>
              </w:rPr>
              <w:t>a</w:t>
            </w:r>
            <w:r w:rsidRPr="00276054">
              <w:rPr>
                <w:color w:val="auto"/>
                <w:sz w:val="20"/>
                <w:szCs w:val="20"/>
              </w:rPr>
              <w:t xml:space="preserve"> Point of intervention refers to the issues considered as key</w:t>
            </w:r>
            <w:r w:rsidR="00276054">
              <w:rPr>
                <w:color w:val="auto"/>
                <w:sz w:val="20"/>
                <w:szCs w:val="20"/>
              </w:rPr>
              <w:t xml:space="preserve"> for environmental degradation</w:t>
            </w:r>
            <w:r w:rsidR="00F2562D">
              <w:rPr>
                <w:color w:val="auto"/>
                <w:sz w:val="20"/>
                <w:szCs w:val="20"/>
              </w:rPr>
              <w:t>,</w:t>
            </w:r>
            <w:r w:rsidR="00276054">
              <w:rPr>
                <w:color w:val="auto"/>
                <w:sz w:val="20"/>
                <w:szCs w:val="20"/>
              </w:rPr>
              <w:t xml:space="preserve"> especially</w:t>
            </w:r>
            <w:r w:rsidRPr="00276054">
              <w:rPr>
                <w:color w:val="auto"/>
                <w:sz w:val="20"/>
                <w:szCs w:val="20"/>
              </w:rPr>
              <w:t xml:space="preserve"> </w:t>
            </w:r>
            <w:r w:rsidR="00276054">
              <w:rPr>
                <w:color w:val="auto"/>
                <w:sz w:val="20"/>
                <w:szCs w:val="20"/>
              </w:rPr>
              <w:t>its improvement</w:t>
            </w:r>
            <w:r w:rsidRPr="00276054">
              <w:rPr>
                <w:color w:val="auto"/>
                <w:sz w:val="20"/>
                <w:szCs w:val="20"/>
              </w:rPr>
              <w:t xml:space="preserve"> </w:t>
            </w:r>
            <w:r w:rsidR="00276054">
              <w:rPr>
                <w:color w:val="auto"/>
                <w:sz w:val="20"/>
                <w:szCs w:val="20"/>
              </w:rPr>
              <w:t>(</w:t>
            </w:r>
            <w:r w:rsidRPr="00276054">
              <w:rPr>
                <w:color w:val="auto"/>
                <w:sz w:val="20"/>
                <w:szCs w:val="20"/>
              </w:rPr>
              <w:t>e.g. technologies, innovation, infrast</w:t>
            </w:r>
            <w:r w:rsidR="00276054">
              <w:rPr>
                <w:color w:val="auto"/>
                <w:sz w:val="20"/>
                <w:szCs w:val="20"/>
              </w:rPr>
              <w:t>ructures, actors, behaviour)</w:t>
            </w:r>
            <w:r w:rsidRPr="00276054">
              <w:rPr>
                <w:color w:val="auto"/>
                <w:sz w:val="20"/>
                <w:szCs w:val="20"/>
              </w:rPr>
              <w:t>.</w:t>
            </w:r>
          </w:p>
          <w:p w14:paraId="3F666A67" w14:textId="77777777" w:rsidR="00276054" w:rsidRPr="005E6BFA" w:rsidRDefault="008318ED" w:rsidP="005E6BFA">
            <w:pPr>
              <w:pStyle w:val="TableText"/>
              <w:pBdr>
                <w:bottom w:val="none" w:sz="0" w:space="0" w:color="auto"/>
              </w:pBdr>
              <w:rPr>
                <w:color w:val="auto"/>
                <w:sz w:val="20"/>
                <w:szCs w:val="20"/>
              </w:rPr>
            </w:pPr>
            <w:r>
              <w:rPr>
                <w:color w:val="auto"/>
                <w:sz w:val="20"/>
                <w:szCs w:val="20"/>
              </w:rPr>
              <w:t xml:space="preserve">EIA: </w:t>
            </w:r>
            <w:r w:rsidR="001F1AED">
              <w:rPr>
                <w:color w:val="auto"/>
                <w:sz w:val="20"/>
                <w:szCs w:val="20"/>
              </w:rPr>
              <w:t>Environmental Impact Assessment</w:t>
            </w:r>
            <w:r>
              <w:rPr>
                <w:color w:val="auto"/>
                <w:sz w:val="20"/>
                <w:szCs w:val="20"/>
              </w:rPr>
              <w:t xml:space="preserve">; IA: </w:t>
            </w:r>
            <w:r w:rsidR="00CF238D">
              <w:rPr>
                <w:color w:val="auto"/>
                <w:sz w:val="20"/>
                <w:szCs w:val="20"/>
              </w:rPr>
              <w:t>Impact Assessment</w:t>
            </w:r>
            <w:r>
              <w:rPr>
                <w:color w:val="auto"/>
                <w:sz w:val="20"/>
                <w:szCs w:val="20"/>
              </w:rPr>
              <w:t xml:space="preserve">; </w:t>
            </w:r>
            <w:r w:rsidR="00276054">
              <w:rPr>
                <w:color w:val="auto"/>
                <w:sz w:val="20"/>
                <w:szCs w:val="20"/>
              </w:rPr>
              <w:t>R&amp;D: research and development</w:t>
            </w:r>
            <w:r>
              <w:rPr>
                <w:color w:val="auto"/>
                <w:sz w:val="20"/>
                <w:szCs w:val="20"/>
              </w:rPr>
              <w:t xml:space="preserve">; SEA: </w:t>
            </w:r>
            <w:r w:rsidR="00CF238D">
              <w:rPr>
                <w:color w:val="auto"/>
                <w:sz w:val="20"/>
                <w:szCs w:val="20"/>
              </w:rPr>
              <w:t>Strategic Environmental Assessment</w:t>
            </w:r>
            <w:r w:rsidR="00276054">
              <w:rPr>
                <w:color w:val="auto"/>
                <w:sz w:val="20"/>
                <w:szCs w:val="20"/>
              </w:rPr>
              <w:t>.</w:t>
            </w:r>
          </w:p>
        </w:tc>
      </w:tr>
    </w:tbl>
    <w:p w14:paraId="1E1B5477" w14:textId="77777777" w:rsidR="00040722" w:rsidRPr="00C901F8" w:rsidRDefault="00040722" w:rsidP="00566049">
      <w:pPr>
        <w:rPr>
          <w:color w:val="auto"/>
        </w:rPr>
      </w:pPr>
    </w:p>
    <w:p w14:paraId="19841C98" w14:textId="77777777" w:rsidR="00276054" w:rsidRDefault="00276054" w:rsidP="0054769C">
      <w:pPr>
        <w:rPr>
          <w:color w:val="auto"/>
        </w:rPr>
        <w:sectPr w:rsidR="00276054" w:rsidSect="005E6BFA">
          <w:pgSz w:w="16817" w:h="11901" w:orient="landscape"/>
          <w:pgMar w:top="1440" w:right="1440" w:bottom="1440" w:left="1440" w:header="720" w:footer="720" w:gutter="0"/>
          <w:cols w:space="720"/>
          <w:docGrid w:linePitch="326"/>
        </w:sectPr>
      </w:pPr>
    </w:p>
    <w:p w14:paraId="7C49B201" w14:textId="77998C0A" w:rsidR="00040722" w:rsidRPr="00C901F8" w:rsidRDefault="0054769C" w:rsidP="0054769C">
      <w:pPr>
        <w:rPr>
          <w:color w:val="auto"/>
        </w:rPr>
      </w:pPr>
      <w:r w:rsidRPr="00C901F8">
        <w:rPr>
          <w:color w:val="auto"/>
        </w:rPr>
        <w:lastRenderedPageBreak/>
        <w:t>Environmental policies ultimately aim to preserve a state of the environment that protects habitats, safeguards ecosystem services and minimizes risks for human health from pollut</w:t>
      </w:r>
      <w:r w:rsidR="00014336">
        <w:rPr>
          <w:color w:val="auto"/>
        </w:rPr>
        <w:t>ion</w:t>
      </w:r>
      <w:r w:rsidRPr="00C901F8">
        <w:rPr>
          <w:color w:val="auto"/>
        </w:rPr>
        <w:t xml:space="preserve">. Therefore, environmental policies have been </w:t>
      </w:r>
      <w:r w:rsidR="00014336">
        <w:rPr>
          <w:color w:val="auto"/>
        </w:rPr>
        <w:t xml:space="preserve">typically </w:t>
      </w:r>
      <w:r w:rsidRPr="00C901F8">
        <w:rPr>
          <w:color w:val="auto"/>
        </w:rPr>
        <w:t xml:space="preserve">developed to protect different environmental media (air, water, land), to influence the state </w:t>
      </w:r>
      <w:r w:rsidR="00014336">
        <w:rPr>
          <w:color w:val="auto"/>
        </w:rPr>
        <w:t xml:space="preserve">of the environment </w:t>
      </w:r>
      <w:r w:rsidRPr="00C901F8">
        <w:rPr>
          <w:color w:val="auto"/>
        </w:rPr>
        <w:t xml:space="preserve">outlined in Part A of this report, and usually under the control of an environment ministry. However, effective environmental policies not only address the state of the environment, but also </w:t>
      </w:r>
      <w:r w:rsidR="00900138">
        <w:rPr>
          <w:color w:val="auto"/>
        </w:rPr>
        <w:t xml:space="preserve">the </w:t>
      </w:r>
      <w:r w:rsidRPr="00C901F8">
        <w:rPr>
          <w:color w:val="auto"/>
        </w:rPr>
        <w:t>drivers and pressures originating from social and economic activities</w:t>
      </w:r>
      <w:r w:rsidR="00C80771">
        <w:rPr>
          <w:color w:val="auto"/>
        </w:rPr>
        <w:t xml:space="preserve"> (outline in Chapter 2)</w:t>
      </w:r>
      <w:r w:rsidRPr="00C901F8">
        <w:rPr>
          <w:color w:val="auto"/>
        </w:rPr>
        <w:t xml:space="preserve">. Accordingly, governments across the world have developed institutions and policies that address the most important polluting sectors, such as energy, mobility, industry and agriculture </w:t>
      </w:r>
      <w:r w:rsidRPr="005E6BFA">
        <w:rPr>
          <w:color w:val="auto"/>
        </w:rPr>
        <w:t>(</w:t>
      </w:r>
      <w:r w:rsidR="003C5BAC" w:rsidRPr="005E6BFA">
        <w:rPr>
          <w:color w:val="auto"/>
        </w:rPr>
        <w:t>Organisation for Economic Co-operation and Development [</w:t>
      </w:r>
      <w:r w:rsidRPr="005E6BFA">
        <w:rPr>
          <w:color w:val="auto"/>
        </w:rPr>
        <w:t>OECD</w:t>
      </w:r>
      <w:r w:rsidR="003C5BAC" w:rsidRPr="005E6BFA">
        <w:rPr>
          <w:color w:val="auto"/>
        </w:rPr>
        <w:t>]</w:t>
      </w:r>
      <w:r w:rsidRPr="005E6BFA">
        <w:rPr>
          <w:color w:val="auto"/>
        </w:rPr>
        <w:t xml:space="preserve"> </w:t>
      </w:r>
      <w:r w:rsidR="00040722" w:rsidRPr="005E6BFA">
        <w:rPr>
          <w:color w:val="auto"/>
        </w:rPr>
        <w:t>2016</w:t>
      </w:r>
      <w:r w:rsidRPr="005E6BFA">
        <w:rPr>
          <w:color w:val="auto"/>
        </w:rPr>
        <w:t>)</w:t>
      </w:r>
      <w:r w:rsidRPr="00C901F8">
        <w:rPr>
          <w:color w:val="auto"/>
        </w:rPr>
        <w:t>.</w:t>
      </w:r>
    </w:p>
    <w:p w14:paraId="323ED8CF" w14:textId="58FDBA24" w:rsidR="00040722" w:rsidRPr="00C901F8" w:rsidRDefault="0054769C" w:rsidP="00566049">
      <w:pPr>
        <w:rPr>
          <w:color w:val="auto"/>
        </w:rPr>
      </w:pPr>
      <w:r w:rsidRPr="00C901F8">
        <w:rPr>
          <w:color w:val="auto"/>
        </w:rPr>
        <w:t>In Part B</w:t>
      </w:r>
      <w:r w:rsidR="00CF47BB">
        <w:rPr>
          <w:color w:val="auto"/>
        </w:rPr>
        <w:t xml:space="preserve"> of this report</w:t>
      </w:r>
      <w:r w:rsidRPr="00C901F8">
        <w:rPr>
          <w:color w:val="auto"/>
        </w:rPr>
        <w:t xml:space="preserve">, a selection of </w:t>
      </w:r>
      <w:r w:rsidR="00900138">
        <w:rPr>
          <w:color w:val="auto"/>
        </w:rPr>
        <w:t xml:space="preserve">the </w:t>
      </w:r>
      <w:r w:rsidRPr="00C901F8">
        <w:rPr>
          <w:color w:val="auto"/>
        </w:rPr>
        <w:t>most commonly adopted policies and cutting-edge policies and policy clusters that show real promise in each thematic area and cross-cutting issue are analysed, rec</w:t>
      </w:r>
      <w:r w:rsidR="00040722" w:rsidRPr="005E6BFA">
        <w:rPr>
          <w:color w:val="auto"/>
        </w:rPr>
        <w:t>o</w:t>
      </w:r>
      <w:r w:rsidR="00040722" w:rsidRPr="00B4619D">
        <w:rPr>
          <w:color w:val="auto"/>
        </w:rPr>
        <w:t>gn</w:t>
      </w:r>
      <w:r w:rsidRPr="00C901F8">
        <w:rPr>
          <w:color w:val="auto"/>
        </w:rPr>
        <w:t xml:space="preserve">izing that there are literally thousands of policies and policy instruments and it is not possible to cover them all. The selected policies represent a sample from different types of policy instruments and governance approaches (see </w:t>
      </w:r>
      <w:r w:rsidRPr="00C901F8">
        <w:rPr>
          <w:color w:val="auto"/>
        </w:rPr>
        <w:fldChar w:fldCharType="begin"/>
      </w:r>
      <w:r w:rsidRPr="00C901F8">
        <w:rPr>
          <w:color w:val="auto"/>
        </w:rPr>
        <w:instrText xml:space="preserve"> REF _Ref511668466 \h </w:instrText>
      </w:r>
      <w:r w:rsidR="00C901F8" w:rsidRPr="00C901F8">
        <w:rPr>
          <w:color w:val="auto"/>
        </w:rPr>
        <w:instrText xml:space="preserve"> \* MERGEFORMAT </w:instrText>
      </w:r>
      <w:r w:rsidRPr="00C901F8">
        <w:rPr>
          <w:color w:val="auto"/>
        </w:rPr>
      </w:r>
      <w:r w:rsidRPr="00C901F8">
        <w:rPr>
          <w:color w:val="auto"/>
        </w:rPr>
        <w:fldChar w:fldCharType="separate"/>
      </w:r>
      <w:r w:rsidRPr="00C901F8">
        <w:rPr>
          <w:color w:val="auto"/>
        </w:rPr>
        <w:t xml:space="preserve">Table </w:t>
      </w:r>
      <w:r w:rsidRPr="00C901F8">
        <w:rPr>
          <w:noProof/>
          <w:color w:val="auto"/>
        </w:rPr>
        <w:t>10</w:t>
      </w:r>
      <w:r w:rsidRPr="00C901F8">
        <w:rPr>
          <w:color w:val="auto"/>
        </w:rPr>
        <w:t>.</w:t>
      </w:r>
      <w:r w:rsidRPr="00C901F8">
        <w:rPr>
          <w:noProof/>
          <w:color w:val="auto"/>
        </w:rPr>
        <w:t>1</w:t>
      </w:r>
      <w:r w:rsidRPr="00C901F8">
        <w:rPr>
          <w:color w:val="auto"/>
        </w:rPr>
        <w:fldChar w:fldCharType="end"/>
      </w:r>
      <w:r w:rsidRPr="00C901F8">
        <w:rPr>
          <w:color w:val="auto"/>
        </w:rPr>
        <w:t>) and different regions of the world.</w:t>
      </w:r>
    </w:p>
    <w:p w14:paraId="30104E33" w14:textId="77777777" w:rsidR="00040722" w:rsidRPr="00C901F8" w:rsidRDefault="00BD5D61" w:rsidP="00AE59CD">
      <w:pPr>
        <w:pStyle w:val="Heading2"/>
      </w:pPr>
      <w:r w:rsidRPr="00C901F8">
        <w:t>Policy mixes and coherence</w:t>
      </w:r>
    </w:p>
    <w:p w14:paraId="7C94BB90" w14:textId="589E50D2" w:rsidR="00040722" w:rsidRPr="00C901F8" w:rsidRDefault="006A6B29" w:rsidP="00566049">
      <w:pPr>
        <w:rPr>
          <w:color w:val="auto"/>
        </w:rPr>
      </w:pPr>
      <w:r w:rsidRPr="00C901F8">
        <w:rPr>
          <w:color w:val="auto"/>
        </w:rPr>
        <w:t xml:space="preserve">Given the multiple actors and factors causing environmental deterioration and the various types of barriers </w:t>
      </w:r>
      <w:r w:rsidR="00C80771">
        <w:rPr>
          <w:color w:val="auto"/>
        </w:rPr>
        <w:t>to</w:t>
      </w:r>
      <w:r w:rsidR="00C80771" w:rsidRPr="00C901F8">
        <w:rPr>
          <w:color w:val="auto"/>
        </w:rPr>
        <w:t xml:space="preserve"> </w:t>
      </w:r>
      <w:r w:rsidRPr="00C901F8">
        <w:rPr>
          <w:color w:val="auto"/>
        </w:rPr>
        <w:t xml:space="preserve">environmental innovation, a single policy instrument is rather unlikely to be </w:t>
      </w:r>
      <w:proofErr w:type="gramStart"/>
      <w:r w:rsidRPr="00C901F8">
        <w:rPr>
          <w:color w:val="auto"/>
        </w:rPr>
        <w:t>sufficient</w:t>
      </w:r>
      <w:proofErr w:type="gramEnd"/>
      <w:r w:rsidRPr="00C901F8">
        <w:rPr>
          <w:color w:val="auto"/>
        </w:rPr>
        <w:t xml:space="preserve"> for achieving the desired goals. Against this</w:t>
      </w:r>
      <w:r w:rsidR="00170E1E" w:rsidRPr="00C901F8">
        <w:rPr>
          <w:color w:val="auto"/>
        </w:rPr>
        <w:t xml:space="preserve"> background and</w:t>
      </w:r>
      <w:r w:rsidR="00CF47BB">
        <w:rPr>
          <w:color w:val="auto"/>
        </w:rPr>
        <w:t xml:space="preserve"> the multiple</w:t>
      </w:r>
      <w:r w:rsidR="00170E1E" w:rsidRPr="00C901F8">
        <w:rPr>
          <w:color w:val="auto"/>
        </w:rPr>
        <w:t xml:space="preserve"> challenges to address when developing effective environmental policies, adopting policy mixes rather than a single policy is claimed to be more effective (</w:t>
      </w:r>
      <w:proofErr w:type="spellStart"/>
      <w:r w:rsidR="00061DCC" w:rsidRPr="005E6BFA">
        <w:rPr>
          <w:color w:val="auto"/>
        </w:rPr>
        <w:t>Jänicke</w:t>
      </w:r>
      <w:proofErr w:type="spellEnd"/>
      <w:r w:rsidR="00061DCC" w:rsidRPr="005E6BFA">
        <w:rPr>
          <w:color w:val="auto"/>
        </w:rPr>
        <w:t xml:space="preserve"> </w:t>
      </w:r>
      <w:r w:rsidR="00061DCC" w:rsidRPr="005E6BFA">
        <w:rPr>
          <w:i/>
          <w:color w:val="auto"/>
        </w:rPr>
        <w:t>et al.</w:t>
      </w:r>
      <w:r w:rsidR="00061DCC" w:rsidRPr="005E6BFA">
        <w:rPr>
          <w:color w:val="auto"/>
        </w:rPr>
        <w:t xml:space="preserve"> 2000</w:t>
      </w:r>
      <w:r w:rsidR="00061DCC" w:rsidRPr="00C901F8">
        <w:rPr>
          <w:color w:val="auto"/>
        </w:rPr>
        <w:t xml:space="preserve">; </w:t>
      </w:r>
      <w:proofErr w:type="spellStart"/>
      <w:r w:rsidR="00170E1E" w:rsidRPr="005E6BFA">
        <w:rPr>
          <w:color w:val="auto"/>
        </w:rPr>
        <w:t>Mees</w:t>
      </w:r>
      <w:proofErr w:type="spellEnd"/>
      <w:r w:rsidR="00170E1E" w:rsidRPr="005E6BFA">
        <w:rPr>
          <w:color w:val="auto"/>
        </w:rPr>
        <w:t xml:space="preserve"> </w:t>
      </w:r>
      <w:r w:rsidR="00170E1E" w:rsidRPr="005E6BFA">
        <w:rPr>
          <w:i/>
          <w:color w:val="auto"/>
        </w:rPr>
        <w:t>et al.</w:t>
      </w:r>
      <w:r w:rsidR="00170E1E" w:rsidRPr="005E6BFA">
        <w:rPr>
          <w:color w:val="auto"/>
        </w:rPr>
        <w:t xml:space="preserve"> </w:t>
      </w:r>
      <w:r w:rsidR="00040722" w:rsidRPr="005E6BFA">
        <w:rPr>
          <w:color w:val="auto"/>
        </w:rPr>
        <w:t>2014</w:t>
      </w:r>
      <w:r w:rsidR="00C34359" w:rsidRPr="00C901F8">
        <w:rPr>
          <w:color w:val="auto"/>
        </w:rPr>
        <w:t>;</w:t>
      </w:r>
      <w:r w:rsidRPr="00C901F8">
        <w:rPr>
          <w:color w:val="auto"/>
        </w:rPr>
        <w:t xml:space="preserve"> </w:t>
      </w:r>
      <w:proofErr w:type="spellStart"/>
      <w:r w:rsidRPr="005E6BFA">
        <w:rPr>
          <w:color w:val="auto"/>
        </w:rPr>
        <w:t>Kivimaa</w:t>
      </w:r>
      <w:proofErr w:type="spellEnd"/>
      <w:r w:rsidRPr="005E6BFA">
        <w:rPr>
          <w:color w:val="auto"/>
        </w:rPr>
        <w:t xml:space="preserve"> and Kern </w:t>
      </w:r>
      <w:r w:rsidR="00040722" w:rsidRPr="005E6BFA">
        <w:rPr>
          <w:color w:val="auto"/>
        </w:rPr>
        <w:t>2016</w:t>
      </w:r>
      <w:r w:rsidR="00170E1E" w:rsidRPr="00C901F8">
        <w:rPr>
          <w:color w:val="auto"/>
        </w:rPr>
        <w:t>).</w:t>
      </w:r>
    </w:p>
    <w:p w14:paraId="70EC76A0" w14:textId="79BA7397" w:rsidR="00040722" w:rsidRPr="00C901F8" w:rsidRDefault="00170E1E" w:rsidP="00566049">
      <w:pPr>
        <w:rPr>
          <w:color w:val="auto"/>
        </w:rPr>
      </w:pPr>
      <w:r w:rsidRPr="00C901F8">
        <w:rPr>
          <w:color w:val="auto"/>
        </w:rPr>
        <w:t xml:space="preserve">However, different policies may not always complement each other, but could impair each other (e.g. economic incentives may undercut intrinsic motivation). </w:t>
      </w:r>
      <w:r w:rsidR="00024BBE" w:rsidRPr="00C901F8">
        <w:rPr>
          <w:color w:val="auto"/>
        </w:rPr>
        <w:t xml:space="preserve">A policy package, portfolio, mix or cluster is a collection of policy instruments all designed to achieve a common goal or set of intentions </w:t>
      </w:r>
      <w:r w:rsidR="00024BBE" w:rsidRPr="005E6BFA">
        <w:rPr>
          <w:color w:val="auto"/>
        </w:rPr>
        <w:t xml:space="preserve">(Lay </w:t>
      </w:r>
      <w:r w:rsidR="00024BBE" w:rsidRPr="005E6BFA">
        <w:rPr>
          <w:i/>
          <w:color w:val="auto"/>
        </w:rPr>
        <w:t>et al.</w:t>
      </w:r>
      <w:r w:rsidR="00024BBE" w:rsidRPr="005E6BFA">
        <w:rPr>
          <w:color w:val="auto"/>
        </w:rPr>
        <w:t xml:space="preserve"> </w:t>
      </w:r>
      <w:r w:rsidR="00040722" w:rsidRPr="005E6BFA">
        <w:rPr>
          <w:color w:val="auto"/>
        </w:rPr>
        <w:t>2017</w:t>
      </w:r>
      <w:r w:rsidR="00024BBE" w:rsidRPr="005E6BFA">
        <w:rPr>
          <w:color w:val="auto"/>
        </w:rPr>
        <w:t>)</w:t>
      </w:r>
      <w:r w:rsidR="00024BBE" w:rsidRPr="00C901F8">
        <w:rPr>
          <w:color w:val="auto"/>
        </w:rPr>
        <w:t xml:space="preserve">. When developing policy mixes, their coherence </w:t>
      </w:r>
      <w:proofErr w:type="gramStart"/>
      <w:r w:rsidR="00024BBE" w:rsidRPr="00C901F8">
        <w:rPr>
          <w:color w:val="auto"/>
        </w:rPr>
        <w:t>has to</w:t>
      </w:r>
      <w:proofErr w:type="gramEnd"/>
      <w:r w:rsidR="00024BBE" w:rsidRPr="00C901F8">
        <w:rPr>
          <w:color w:val="auto"/>
        </w:rPr>
        <w:t xml:space="preserve"> be ensured in order to achieve optimal results (</w:t>
      </w:r>
      <w:r w:rsidR="00024BBE" w:rsidRPr="005E6BFA">
        <w:rPr>
          <w:color w:val="auto"/>
        </w:rPr>
        <w:t xml:space="preserve">Howlett and Rayner </w:t>
      </w:r>
      <w:r w:rsidR="00040722" w:rsidRPr="005E6BFA">
        <w:rPr>
          <w:color w:val="auto"/>
        </w:rPr>
        <w:t>2007</w:t>
      </w:r>
      <w:r w:rsidR="00C34359" w:rsidRPr="00C901F8">
        <w:rPr>
          <w:color w:val="auto"/>
        </w:rPr>
        <w:t>;</w:t>
      </w:r>
      <w:r w:rsidR="00024BBE" w:rsidRPr="00C901F8">
        <w:rPr>
          <w:color w:val="auto"/>
        </w:rPr>
        <w:t xml:space="preserve"> </w:t>
      </w:r>
      <w:proofErr w:type="spellStart"/>
      <w:r w:rsidR="00A910FE" w:rsidRPr="005E6BFA">
        <w:rPr>
          <w:color w:val="auto"/>
        </w:rPr>
        <w:t>Huttunen</w:t>
      </w:r>
      <w:proofErr w:type="spellEnd"/>
      <w:r w:rsidR="00A910FE" w:rsidRPr="005E6BFA">
        <w:rPr>
          <w:color w:val="auto"/>
        </w:rPr>
        <w:t xml:space="preserve">, </w:t>
      </w:r>
      <w:proofErr w:type="spellStart"/>
      <w:r w:rsidR="00A910FE" w:rsidRPr="005E6BFA">
        <w:rPr>
          <w:color w:val="auto"/>
        </w:rPr>
        <w:t>Kivimaa</w:t>
      </w:r>
      <w:proofErr w:type="spellEnd"/>
      <w:r w:rsidR="00A910FE" w:rsidRPr="005E6BFA">
        <w:rPr>
          <w:color w:val="auto"/>
        </w:rPr>
        <w:t xml:space="preserve"> and </w:t>
      </w:r>
      <w:proofErr w:type="spellStart"/>
      <w:r w:rsidR="00A910FE" w:rsidRPr="005E6BFA">
        <w:rPr>
          <w:color w:val="auto"/>
        </w:rPr>
        <w:t>Virkamäki</w:t>
      </w:r>
      <w:proofErr w:type="spellEnd"/>
      <w:r w:rsidR="00A910FE" w:rsidRPr="005E6BFA">
        <w:rPr>
          <w:color w:val="auto"/>
        </w:rPr>
        <w:t xml:space="preserve"> </w:t>
      </w:r>
      <w:r w:rsidR="00040722" w:rsidRPr="005E6BFA">
        <w:rPr>
          <w:color w:val="auto"/>
        </w:rPr>
        <w:t>201</w:t>
      </w:r>
      <w:r w:rsidR="00F34DCE">
        <w:rPr>
          <w:color w:val="auto"/>
        </w:rPr>
        <w:t>4</w:t>
      </w:r>
      <w:r w:rsidR="00D2194A">
        <w:rPr>
          <w:color w:val="auto"/>
        </w:rPr>
        <w:t>)</w:t>
      </w:r>
      <w:r w:rsidR="00024BBE" w:rsidRPr="00C901F8">
        <w:rPr>
          <w:color w:val="auto"/>
        </w:rPr>
        <w:t>.</w:t>
      </w:r>
    </w:p>
    <w:p w14:paraId="3A8FC6F2" w14:textId="77777777" w:rsidR="00040722" w:rsidRPr="00C901F8" w:rsidRDefault="007309A0" w:rsidP="00566049">
      <w:pPr>
        <w:rPr>
          <w:color w:val="auto"/>
        </w:rPr>
      </w:pPr>
      <w:r w:rsidRPr="00C901F8">
        <w:rPr>
          <w:color w:val="auto"/>
        </w:rPr>
        <w:t>Policy coherence is the systematic promotion of mutually reinforcing polic</w:t>
      </w:r>
      <w:r w:rsidR="004048B3" w:rsidRPr="00C901F8">
        <w:rPr>
          <w:color w:val="auto"/>
        </w:rPr>
        <w:t>ies that can</w:t>
      </w:r>
      <w:r w:rsidRPr="00C901F8">
        <w:rPr>
          <w:color w:val="auto"/>
        </w:rPr>
        <w:t xml:space="preserve"> </w:t>
      </w:r>
      <w:r w:rsidR="004048B3" w:rsidRPr="00C901F8">
        <w:rPr>
          <w:color w:val="auto"/>
        </w:rPr>
        <w:t>accumulate</w:t>
      </w:r>
      <w:r w:rsidRPr="00C901F8">
        <w:rPr>
          <w:color w:val="auto"/>
        </w:rPr>
        <w:t xml:space="preserve"> synergies </w:t>
      </w:r>
      <w:r w:rsidR="004048B3" w:rsidRPr="00C901F8">
        <w:rPr>
          <w:color w:val="auto"/>
        </w:rPr>
        <w:t xml:space="preserve">in attempting to </w:t>
      </w:r>
      <w:r w:rsidRPr="00C901F8">
        <w:rPr>
          <w:color w:val="auto"/>
        </w:rPr>
        <w:t>achiev</w:t>
      </w:r>
      <w:r w:rsidR="004048B3" w:rsidRPr="00C901F8">
        <w:rPr>
          <w:color w:val="auto"/>
        </w:rPr>
        <w:t>e</w:t>
      </w:r>
      <w:r w:rsidRPr="00C901F8">
        <w:rPr>
          <w:color w:val="auto"/>
        </w:rPr>
        <w:t xml:space="preserve"> agreed objectives </w:t>
      </w:r>
      <w:r w:rsidRPr="005E6BFA">
        <w:rPr>
          <w:color w:val="auto"/>
        </w:rPr>
        <w:t>(</w:t>
      </w:r>
      <w:r w:rsidR="00354082" w:rsidRPr="005E6BFA">
        <w:rPr>
          <w:color w:val="auto"/>
        </w:rPr>
        <w:t xml:space="preserve">OECD </w:t>
      </w:r>
      <w:r w:rsidR="00040722" w:rsidRPr="005E6BFA">
        <w:rPr>
          <w:color w:val="auto"/>
        </w:rPr>
        <w:t>2016</w:t>
      </w:r>
      <w:r w:rsidRPr="005E6BFA">
        <w:rPr>
          <w:color w:val="auto"/>
        </w:rPr>
        <w:t>)</w:t>
      </w:r>
      <w:r w:rsidRPr="00C901F8">
        <w:rPr>
          <w:color w:val="auto"/>
        </w:rPr>
        <w:t xml:space="preserve">. </w:t>
      </w:r>
      <w:r w:rsidR="00024BBE" w:rsidRPr="00C901F8">
        <w:rPr>
          <w:color w:val="auto"/>
        </w:rPr>
        <w:t>Policy coherence can be sectoral, transnational, across governance regimes, multi-level (from global to local) and</w:t>
      </w:r>
      <w:r w:rsidR="00DC6928">
        <w:rPr>
          <w:color w:val="auto"/>
        </w:rPr>
        <w:t>/or</w:t>
      </w:r>
      <w:r w:rsidR="00024BBE" w:rsidRPr="00C901F8">
        <w:rPr>
          <w:color w:val="auto"/>
        </w:rPr>
        <w:t xml:space="preserve"> from policy objective through to instrument design and implementation </w:t>
      </w:r>
      <w:r w:rsidR="00040722" w:rsidRPr="005E6BFA">
        <w:rPr>
          <w:color w:val="auto"/>
        </w:rPr>
        <w:t>practice</w:t>
      </w:r>
      <w:r w:rsidR="00024BBE" w:rsidRPr="00C901F8">
        <w:rPr>
          <w:color w:val="auto"/>
        </w:rPr>
        <w:t xml:space="preserve"> </w:t>
      </w:r>
      <w:r w:rsidR="00024BBE" w:rsidRPr="005E6BFA">
        <w:rPr>
          <w:color w:val="auto"/>
        </w:rPr>
        <w:t xml:space="preserve">(Hood </w:t>
      </w:r>
      <w:r w:rsidR="00040722" w:rsidRPr="005E6BFA">
        <w:rPr>
          <w:color w:val="auto"/>
        </w:rPr>
        <w:t>2011</w:t>
      </w:r>
      <w:r w:rsidR="00024BBE" w:rsidRPr="00C901F8">
        <w:rPr>
          <w:color w:val="auto"/>
        </w:rPr>
        <w:t>). Policy coherence occurs when the balance of policies is aligned with that common goal or set of intentions.</w:t>
      </w:r>
    </w:p>
    <w:p w14:paraId="38CFFE44" w14:textId="57F4B72A" w:rsidR="00040722" w:rsidRPr="00C901F8" w:rsidRDefault="007309A0" w:rsidP="00566049">
      <w:pPr>
        <w:rPr>
          <w:color w:val="auto"/>
        </w:rPr>
      </w:pPr>
      <w:r w:rsidRPr="00C901F8">
        <w:rPr>
          <w:color w:val="auto"/>
        </w:rPr>
        <w:t xml:space="preserve">In addition to policy coherence, policy synergy is also </w:t>
      </w:r>
      <w:r w:rsidR="00743AB8" w:rsidRPr="00C901F8">
        <w:rPr>
          <w:color w:val="auto"/>
        </w:rPr>
        <w:t xml:space="preserve">necessary. </w:t>
      </w:r>
      <w:r w:rsidR="00600445" w:rsidRPr="00C901F8">
        <w:rPr>
          <w:color w:val="auto"/>
        </w:rPr>
        <w:t xml:space="preserve">In order to realize environmental objectives, environmental concerns need to be incorporated in </w:t>
      </w:r>
      <w:r w:rsidR="00CF47BB">
        <w:rPr>
          <w:color w:val="auto"/>
        </w:rPr>
        <w:t xml:space="preserve">other </w:t>
      </w:r>
      <w:r w:rsidR="00600445" w:rsidRPr="00C901F8">
        <w:rPr>
          <w:color w:val="auto"/>
        </w:rPr>
        <w:t xml:space="preserve">policy sectors. This is often referred to as policy </w:t>
      </w:r>
      <w:r w:rsidR="00D22573" w:rsidRPr="00C901F8">
        <w:rPr>
          <w:color w:val="auto"/>
        </w:rPr>
        <w:t xml:space="preserve">synergy </w:t>
      </w:r>
      <w:r w:rsidR="00CF47BB">
        <w:rPr>
          <w:color w:val="auto"/>
        </w:rPr>
        <w:t xml:space="preserve">or </w:t>
      </w:r>
      <w:r w:rsidR="00C34359" w:rsidRPr="00C901F8">
        <w:rPr>
          <w:color w:val="auto"/>
        </w:rPr>
        <w:t xml:space="preserve">environmental policy </w:t>
      </w:r>
      <w:r w:rsidR="00600445" w:rsidRPr="00C901F8">
        <w:rPr>
          <w:color w:val="auto"/>
        </w:rPr>
        <w:t>integration</w:t>
      </w:r>
      <w:r w:rsidR="00D22573" w:rsidRPr="00C901F8">
        <w:rPr>
          <w:color w:val="auto"/>
        </w:rPr>
        <w:t xml:space="preserve"> </w:t>
      </w:r>
      <w:r w:rsidR="00600445" w:rsidRPr="00C901F8">
        <w:rPr>
          <w:color w:val="auto"/>
        </w:rPr>
        <w:t>and contributes to policy coherence (</w:t>
      </w:r>
      <w:r w:rsidR="00600445" w:rsidRPr="005E6BFA">
        <w:rPr>
          <w:color w:val="auto"/>
        </w:rPr>
        <w:t xml:space="preserve">Hood </w:t>
      </w:r>
      <w:r w:rsidR="00040722" w:rsidRPr="005E6BFA">
        <w:rPr>
          <w:color w:val="auto"/>
        </w:rPr>
        <w:t>2011</w:t>
      </w:r>
      <w:r w:rsidR="00600445" w:rsidRPr="00C901F8">
        <w:rPr>
          <w:color w:val="auto"/>
        </w:rPr>
        <w:t xml:space="preserve">; </w:t>
      </w:r>
      <w:r w:rsidR="00600445" w:rsidRPr="005E6BFA">
        <w:rPr>
          <w:color w:val="auto"/>
        </w:rPr>
        <w:t xml:space="preserve">Lay </w:t>
      </w:r>
      <w:r w:rsidR="00600445" w:rsidRPr="005E6BFA">
        <w:rPr>
          <w:i/>
          <w:color w:val="auto"/>
        </w:rPr>
        <w:t>et al.</w:t>
      </w:r>
      <w:r w:rsidR="00600445" w:rsidRPr="005E6BFA">
        <w:rPr>
          <w:color w:val="auto"/>
        </w:rPr>
        <w:t xml:space="preserve"> </w:t>
      </w:r>
      <w:r w:rsidR="00040722" w:rsidRPr="005E6BFA">
        <w:rPr>
          <w:color w:val="auto"/>
        </w:rPr>
        <w:t>2017</w:t>
      </w:r>
      <w:r w:rsidR="00600445" w:rsidRPr="00C901F8">
        <w:rPr>
          <w:color w:val="auto"/>
        </w:rPr>
        <w:t xml:space="preserve">). </w:t>
      </w:r>
      <w:r w:rsidR="00BD5D61" w:rsidRPr="00C901F8">
        <w:rPr>
          <w:color w:val="auto"/>
        </w:rPr>
        <w:t xml:space="preserve">Policy </w:t>
      </w:r>
      <w:r w:rsidR="00BD5D61" w:rsidRPr="00C901F8">
        <w:rPr>
          <w:color w:val="auto"/>
        </w:rPr>
        <w:lastRenderedPageBreak/>
        <w:t xml:space="preserve">synergy occurs when successive policy instruments have a cumulative or reinforcing impact in achieving the common goal or overarching policy aspiration </w:t>
      </w:r>
      <w:r w:rsidR="00BD5D61" w:rsidRPr="005E6BFA">
        <w:rPr>
          <w:color w:val="auto"/>
        </w:rPr>
        <w:t>(</w:t>
      </w:r>
      <w:r w:rsidR="0000004E" w:rsidRPr="005E6BFA">
        <w:rPr>
          <w:color w:val="auto"/>
        </w:rPr>
        <w:t>OECD</w:t>
      </w:r>
      <w:r w:rsidR="00B8788D" w:rsidRPr="005E6BFA">
        <w:rPr>
          <w:color w:val="auto"/>
        </w:rPr>
        <w:t xml:space="preserve"> </w:t>
      </w:r>
      <w:r w:rsidR="00B8788D" w:rsidRPr="005E6BFA">
        <w:rPr>
          <w:i/>
          <w:color w:val="auto"/>
        </w:rPr>
        <w:t>et al.</w:t>
      </w:r>
      <w:r w:rsidR="00354082" w:rsidRPr="005E6BFA">
        <w:rPr>
          <w:color w:val="auto"/>
        </w:rPr>
        <w:t xml:space="preserve"> </w:t>
      </w:r>
      <w:r w:rsidR="00040722" w:rsidRPr="005E6BFA">
        <w:rPr>
          <w:color w:val="auto"/>
        </w:rPr>
        <w:t>2015</w:t>
      </w:r>
      <w:r w:rsidR="00BD5D61" w:rsidRPr="005E6BFA">
        <w:rPr>
          <w:color w:val="auto"/>
        </w:rPr>
        <w:t>)</w:t>
      </w:r>
      <w:r w:rsidR="00BD5D61" w:rsidRPr="00C901F8">
        <w:rPr>
          <w:color w:val="auto"/>
        </w:rPr>
        <w:t>.</w:t>
      </w:r>
    </w:p>
    <w:p w14:paraId="1E5A5411" w14:textId="77777777" w:rsidR="00040722" w:rsidRPr="00C901F8" w:rsidRDefault="00024BBE" w:rsidP="00566049">
      <w:pPr>
        <w:rPr>
          <w:color w:val="auto"/>
        </w:rPr>
      </w:pPr>
      <w:r w:rsidRPr="00C901F8">
        <w:rPr>
          <w:color w:val="auto"/>
        </w:rPr>
        <w:t xml:space="preserve">Policy conflict, on the other hand, sees the impact of one set of policies, often in unrelated sectors or from an external actor, undermining the intended outcomes of the desired environmental policies. </w:t>
      </w:r>
      <w:r w:rsidR="009A77EC" w:rsidRPr="00C901F8">
        <w:rPr>
          <w:color w:val="auto"/>
        </w:rPr>
        <w:t xml:space="preserve">For example, providing a subsidy to first car buyers may conflict with policies to reduce air pollution from transportation. </w:t>
      </w:r>
      <w:r w:rsidRPr="00C901F8">
        <w:rPr>
          <w:color w:val="auto"/>
        </w:rPr>
        <w:t>Accordingly, any analysis of environmental policy effectiveness also needs to address the influence of economic and social policies in other domains (</w:t>
      </w:r>
      <w:proofErr w:type="spellStart"/>
      <w:r w:rsidR="00765DAD" w:rsidRPr="005E6BFA">
        <w:rPr>
          <w:color w:val="auto"/>
        </w:rPr>
        <w:t>Perrels</w:t>
      </w:r>
      <w:proofErr w:type="spellEnd"/>
      <w:r w:rsidR="00765DAD" w:rsidRPr="005E6BFA">
        <w:rPr>
          <w:color w:val="auto"/>
        </w:rPr>
        <w:t xml:space="preserve"> </w:t>
      </w:r>
      <w:r w:rsidR="00040722" w:rsidRPr="005E6BFA">
        <w:rPr>
          <w:color w:val="auto"/>
        </w:rPr>
        <w:t>2001</w:t>
      </w:r>
      <w:r w:rsidR="00765DAD" w:rsidRPr="00C901F8">
        <w:rPr>
          <w:color w:val="auto"/>
        </w:rPr>
        <w:t xml:space="preserve">; </w:t>
      </w:r>
      <w:proofErr w:type="spellStart"/>
      <w:r w:rsidR="00765DAD" w:rsidRPr="005E6BFA">
        <w:rPr>
          <w:color w:val="auto"/>
        </w:rPr>
        <w:t>Interwies</w:t>
      </w:r>
      <w:proofErr w:type="spellEnd"/>
      <w:r w:rsidR="00765DAD" w:rsidRPr="005E6BFA">
        <w:rPr>
          <w:color w:val="auto"/>
        </w:rPr>
        <w:t xml:space="preserve">, </w:t>
      </w:r>
      <w:proofErr w:type="spellStart"/>
      <w:r w:rsidR="00765DAD" w:rsidRPr="005E6BFA">
        <w:rPr>
          <w:color w:val="auto"/>
        </w:rPr>
        <w:t>Görrlach</w:t>
      </w:r>
      <w:proofErr w:type="spellEnd"/>
      <w:r w:rsidR="00765DAD" w:rsidRPr="005E6BFA">
        <w:rPr>
          <w:color w:val="auto"/>
        </w:rPr>
        <w:t xml:space="preserve"> and Newcombe </w:t>
      </w:r>
      <w:r w:rsidR="00040722" w:rsidRPr="005E6BFA">
        <w:rPr>
          <w:color w:val="auto"/>
        </w:rPr>
        <w:t>2007</w:t>
      </w:r>
      <w:r w:rsidR="00765DAD" w:rsidRPr="00C901F8">
        <w:rPr>
          <w:color w:val="auto"/>
        </w:rPr>
        <w:t xml:space="preserve">; </w:t>
      </w:r>
      <w:proofErr w:type="spellStart"/>
      <w:r w:rsidRPr="005E6BFA">
        <w:rPr>
          <w:color w:val="auto"/>
        </w:rPr>
        <w:t>Lambin</w:t>
      </w:r>
      <w:proofErr w:type="spellEnd"/>
      <w:r w:rsidRPr="005E6BFA">
        <w:rPr>
          <w:color w:val="auto"/>
        </w:rPr>
        <w:t xml:space="preserve"> </w:t>
      </w:r>
      <w:r w:rsidRPr="005E6BFA">
        <w:rPr>
          <w:i/>
          <w:color w:val="auto"/>
        </w:rPr>
        <w:t>et al.</w:t>
      </w:r>
      <w:r w:rsidRPr="005E6BFA">
        <w:rPr>
          <w:color w:val="auto"/>
        </w:rPr>
        <w:t xml:space="preserve"> </w:t>
      </w:r>
      <w:r w:rsidR="00040722" w:rsidRPr="005E6BFA">
        <w:rPr>
          <w:color w:val="auto"/>
        </w:rPr>
        <w:t>2014</w:t>
      </w:r>
      <w:r w:rsidRPr="00C901F8">
        <w:rPr>
          <w:color w:val="auto"/>
        </w:rPr>
        <w:t>).</w:t>
      </w:r>
    </w:p>
    <w:p w14:paraId="0A57D018" w14:textId="77777777" w:rsidR="00040722" w:rsidRPr="00C901F8" w:rsidRDefault="00024BBE" w:rsidP="00AE59CD">
      <w:pPr>
        <w:pStyle w:val="Heading2"/>
      </w:pPr>
      <w:bookmarkStart w:id="4" w:name="_2et92p0" w:colFirst="0" w:colLast="0"/>
      <w:bookmarkStart w:id="5" w:name="_Toc511749736"/>
      <w:bookmarkEnd w:id="4"/>
      <w:r w:rsidRPr="00C901F8">
        <w:t>Methodol</w:t>
      </w:r>
      <w:r w:rsidR="00040722" w:rsidRPr="00B4619D">
        <w:t>ogy</w:t>
      </w:r>
      <w:r w:rsidR="00743AB8" w:rsidRPr="00C901F8">
        <w:t xml:space="preserve"> adopted to assess policy effectiven</w:t>
      </w:r>
      <w:r w:rsidR="00DF0720" w:rsidRPr="00C901F8">
        <w:t>e</w:t>
      </w:r>
      <w:r w:rsidR="00743AB8" w:rsidRPr="00C901F8">
        <w:t>ss</w:t>
      </w:r>
      <w:bookmarkEnd w:id="5"/>
    </w:p>
    <w:p w14:paraId="65D6D9DF" w14:textId="14447444" w:rsidR="00040722" w:rsidRPr="00C901F8" w:rsidRDefault="00C23AE8" w:rsidP="00566049">
      <w:pPr>
        <w:rPr>
          <w:color w:val="auto"/>
        </w:rPr>
      </w:pPr>
      <w:r w:rsidRPr="00C901F8">
        <w:rPr>
          <w:color w:val="auto"/>
        </w:rPr>
        <w:t xml:space="preserve">The </w:t>
      </w:r>
      <w:r w:rsidR="00024BBE" w:rsidRPr="00C901F8">
        <w:rPr>
          <w:color w:val="auto"/>
        </w:rPr>
        <w:t>assess</w:t>
      </w:r>
      <w:r w:rsidRPr="00C901F8">
        <w:rPr>
          <w:color w:val="auto"/>
        </w:rPr>
        <w:t>ment of</w:t>
      </w:r>
      <w:r w:rsidR="00024BBE" w:rsidRPr="00C901F8">
        <w:rPr>
          <w:color w:val="auto"/>
        </w:rPr>
        <w:t xml:space="preserve"> policy effectiveness in the </w:t>
      </w:r>
      <w:r w:rsidR="00BD5D61" w:rsidRPr="00C901F8">
        <w:rPr>
          <w:color w:val="auto"/>
        </w:rPr>
        <w:t>remaining chapters of Part B</w:t>
      </w:r>
      <w:r w:rsidR="00024BBE" w:rsidRPr="00C901F8">
        <w:rPr>
          <w:color w:val="auto"/>
        </w:rPr>
        <w:t xml:space="preserve"> </w:t>
      </w:r>
      <w:r w:rsidRPr="00C901F8">
        <w:rPr>
          <w:color w:val="auto"/>
        </w:rPr>
        <w:t>serves three main purposes</w:t>
      </w:r>
      <w:r w:rsidR="004420B4">
        <w:rPr>
          <w:color w:val="auto"/>
        </w:rPr>
        <w:t>:</w:t>
      </w:r>
      <w:r w:rsidR="00BD5D61" w:rsidRPr="00C901F8">
        <w:rPr>
          <w:color w:val="auto"/>
        </w:rPr>
        <w:t xml:space="preserve"> </w:t>
      </w:r>
    </w:p>
    <w:p w14:paraId="7E711FD7" w14:textId="77777777" w:rsidR="00040722" w:rsidRPr="00C901F8" w:rsidRDefault="00024BBE" w:rsidP="005E6BFA">
      <w:pPr>
        <w:pStyle w:val="ListParagraph"/>
        <w:numPr>
          <w:ilvl w:val="0"/>
          <w:numId w:val="32"/>
        </w:numPr>
      </w:pPr>
      <w:r w:rsidRPr="00C901F8">
        <w:t xml:space="preserve">To showcase policies and governance approaches </w:t>
      </w:r>
      <w:r w:rsidR="006916F3" w:rsidRPr="00C901F8">
        <w:t xml:space="preserve">at all levels </w:t>
      </w:r>
      <w:r w:rsidRPr="00C901F8">
        <w:t xml:space="preserve">that have demonstrated an impact and that can </w:t>
      </w:r>
      <w:r w:rsidR="00C23AE8" w:rsidRPr="00C901F8">
        <w:t xml:space="preserve">potentially </w:t>
      </w:r>
      <w:r w:rsidRPr="00C901F8">
        <w:t>be applied elsewhere</w:t>
      </w:r>
      <w:r w:rsidR="00434912">
        <w:t>.</w:t>
      </w:r>
    </w:p>
    <w:p w14:paraId="54DF8785" w14:textId="77777777" w:rsidR="00040722" w:rsidRPr="00C901F8" w:rsidRDefault="00024BBE" w:rsidP="005E6BFA">
      <w:pPr>
        <w:pStyle w:val="ListParagraph"/>
        <w:numPr>
          <w:ilvl w:val="0"/>
          <w:numId w:val="32"/>
        </w:numPr>
      </w:pPr>
      <w:r w:rsidRPr="00C901F8">
        <w:t>To identify needs for further action by improving the effectiveness of policies. The analysis build</w:t>
      </w:r>
      <w:r w:rsidR="00C23AE8" w:rsidRPr="00C901F8">
        <w:t>s</w:t>
      </w:r>
      <w:r w:rsidRPr="00C901F8">
        <w:t xml:space="preserve"> as much as possible on quantification of policy effectiveness (i.e. indication on how much/how often policies do have an effect, not only how and why)</w:t>
      </w:r>
      <w:r w:rsidR="00434912">
        <w:t>.</w:t>
      </w:r>
    </w:p>
    <w:p w14:paraId="1E5EE271" w14:textId="212D21BB" w:rsidR="00040722" w:rsidRPr="00C901F8" w:rsidRDefault="00024BBE" w:rsidP="005E6BFA">
      <w:pPr>
        <w:pStyle w:val="ListParagraph"/>
        <w:numPr>
          <w:ilvl w:val="0"/>
          <w:numId w:val="32"/>
        </w:numPr>
      </w:pPr>
      <w:r w:rsidRPr="00C901F8">
        <w:t xml:space="preserve">To </w:t>
      </w:r>
      <w:r w:rsidR="00C23AE8" w:rsidRPr="00C901F8">
        <w:t xml:space="preserve">establish </w:t>
      </w:r>
      <w:r w:rsidRPr="00C901F8">
        <w:t>methods and best available knowledge for assessing policy effectiveness that can be used beyond GEO</w:t>
      </w:r>
      <w:r w:rsidR="00C23AE8" w:rsidRPr="00C901F8">
        <w:t>-</w:t>
      </w:r>
      <w:r w:rsidRPr="00C901F8">
        <w:t xml:space="preserve">6 for improving the evidence base of </w:t>
      </w:r>
      <w:r w:rsidR="00040722" w:rsidRPr="005E6BFA">
        <w:t>policymak</w:t>
      </w:r>
      <w:r w:rsidRPr="00C901F8">
        <w:t>ing and thereby strengthen environmental policies.</w:t>
      </w:r>
    </w:p>
    <w:p w14:paraId="3921DCD2" w14:textId="77777777" w:rsidR="00040722" w:rsidRPr="00C901F8" w:rsidRDefault="00024BBE" w:rsidP="00566049">
      <w:pPr>
        <w:rPr>
          <w:color w:val="auto"/>
        </w:rPr>
      </w:pPr>
      <w:r w:rsidRPr="00C901F8">
        <w:rPr>
          <w:color w:val="auto"/>
        </w:rPr>
        <w:t>The gold standard to evaluate and quantify the effectiveness of policies is the comparison of empirical observations with a control group in an experimental design or with a counterfactual scenario. However, constructing such experiments or scenarios is in many cases costly if not impossible as the objects of policy interventions are complex social systems. For example, it is not possible to predict the reactions of markets with or without policy interventions. Furthermore, in many cases control groups cannot be identified</w:t>
      </w:r>
      <w:r w:rsidR="00251035" w:rsidRPr="00C901F8">
        <w:rPr>
          <w:color w:val="auto"/>
        </w:rPr>
        <w:t xml:space="preserve"> and it may be unethical to deliberately withhold the benefits of a policy</w:t>
      </w:r>
      <w:r w:rsidRPr="00C901F8">
        <w:rPr>
          <w:color w:val="auto"/>
        </w:rPr>
        <w:t>.</w:t>
      </w:r>
    </w:p>
    <w:p w14:paraId="632140F9" w14:textId="77777777" w:rsidR="00040722" w:rsidRPr="00C901F8" w:rsidRDefault="00024BBE" w:rsidP="00566049">
      <w:pPr>
        <w:rPr>
          <w:color w:val="auto"/>
        </w:rPr>
      </w:pPr>
      <w:r w:rsidRPr="00C901F8">
        <w:rPr>
          <w:color w:val="auto"/>
        </w:rPr>
        <w:t>Evaluating policy effectiveness is still possible based on theoretical assumptions and empirical observations on polic</w:t>
      </w:r>
      <w:r w:rsidR="00C23AE8" w:rsidRPr="00C901F8">
        <w:rPr>
          <w:color w:val="auto"/>
        </w:rPr>
        <w:t>y</w:t>
      </w:r>
      <w:r w:rsidRPr="00C901F8">
        <w:rPr>
          <w:color w:val="auto"/>
        </w:rPr>
        <w:t xml:space="preserve"> impact. Theory</w:t>
      </w:r>
      <w:r w:rsidR="00C23AE8" w:rsidRPr="00C901F8">
        <w:rPr>
          <w:color w:val="auto"/>
        </w:rPr>
        <w:t>-</w:t>
      </w:r>
      <w:r w:rsidRPr="00C901F8">
        <w:rPr>
          <w:color w:val="auto"/>
        </w:rPr>
        <w:t>based evaluation use</w:t>
      </w:r>
      <w:r w:rsidR="00377470" w:rsidRPr="00C901F8">
        <w:rPr>
          <w:color w:val="auto"/>
        </w:rPr>
        <w:t>s</w:t>
      </w:r>
      <w:r w:rsidRPr="00C901F8">
        <w:rPr>
          <w:color w:val="auto"/>
        </w:rPr>
        <w:t xml:space="preserve"> an explicit theory of change throughout the causal chain from policy output</w:t>
      </w:r>
      <w:r w:rsidR="00C23AE8" w:rsidRPr="00C901F8">
        <w:rPr>
          <w:color w:val="auto"/>
        </w:rPr>
        <w:t>s</w:t>
      </w:r>
      <w:r w:rsidRPr="00C901F8">
        <w:rPr>
          <w:color w:val="auto"/>
        </w:rPr>
        <w:t xml:space="preserve"> to outcomes and final impacts (</w:t>
      </w:r>
      <w:r w:rsidRPr="005E6BFA">
        <w:rPr>
          <w:color w:val="auto"/>
        </w:rPr>
        <w:t xml:space="preserve">Blamey and </w:t>
      </w:r>
      <w:r w:rsidR="00F34DCE" w:rsidRPr="00F34DCE">
        <w:rPr>
          <w:color w:val="auto"/>
        </w:rPr>
        <w:t>Mackenzie</w:t>
      </w:r>
      <w:r w:rsidR="00F34DCE">
        <w:rPr>
          <w:color w:val="auto"/>
        </w:rPr>
        <w:t xml:space="preserve"> </w:t>
      </w:r>
      <w:r w:rsidR="00040722" w:rsidRPr="005E6BFA">
        <w:rPr>
          <w:color w:val="auto"/>
        </w:rPr>
        <w:t>2007</w:t>
      </w:r>
      <w:r w:rsidR="00765DAD" w:rsidRPr="00C901F8">
        <w:rPr>
          <w:color w:val="auto"/>
        </w:rPr>
        <w:t xml:space="preserve">; </w:t>
      </w:r>
      <w:r w:rsidR="00765DAD" w:rsidRPr="005E6BFA">
        <w:rPr>
          <w:color w:val="auto"/>
        </w:rPr>
        <w:t>R</w:t>
      </w:r>
      <w:r w:rsidR="00151DA5" w:rsidRPr="005E6BFA">
        <w:rPr>
          <w:color w:val="auto"/>
        </w:rPr>
        <w:t>og</w:t>
      </w:r>
      <w:r w:rsidR="00765DAD" w:rsidRPr="005E6BFA">
        <w:rPr>
          <w:color w:val="auto"/>
        </w:rPr>
        <w:t xml:space="preserve">ers </w:t>
      </w:r>
      <w:r w:rsidR="002E6D4A" w:rsidRPr="005E6BFA">
        <w:rPr>
          <w:color w:val="auto"/>
        </w:rPr>
        <w:t xml:space="preserve">and Weiss </w:t>
      </w:r>
      <w:r w:rsidR="00040722" w:rsidRPr="005E6BFA">
        <w:rPr>
          <w:color w:val="auto"/>
        </w:rPr>
        <w:t>2007</w:t>
      </w:r>
      <w:r w:rsidRPr="00C901F8">
        <w:rPr>
          <w:color w:val="auto"/>
        </w:rPr>
        <w:t>).</w:t>
      </w:r>
    </w:p>
    <w:p w14:paraId="0DC684C0" w14:textId="53896EB0" w:rsidR="00040722" w:rsidRDefault="00024BBE" w:rsidP="00566049">
      <w:pPr>
        <w:rPr>
          <w:color w:val="auto"/>
        </w:rPr>
      </w:pPr>
      <w:r w:rsidRPr="00C901F8">
        <w:rPr>
          <w:color w:val="auto"/>
        </w:rPr>
        <w:t xml:space="preserve">Attributing causality to policies in often extensive </w:t>
      </w:r>
      <w:r w:rsidR="00C23AE8" w:rsidRPr="00C901F8">
        <w:rPr>
          <w:color w:val="auto"/>
        </w:rPr>
        <w:t xml:space="preserve">and complex </w:t>
      </w:r>
      <w:r w:rsidRPr="00C901F8">
        <w:rPr>
          <w:color w:val="auto"/>
        </w:rPr>
        <w:t xml:space="preserve">causal chains from policy, </w:t>
      </w:r>
      <w:r w:rsidR="00AC55F8">
        <w:rPr>
          <w:color w:val="auto"/>
        </w:rPr>
        <w:t>through</w:t>
      </w:r>
      <w:r w:rsidR="00AC55F8" w:rsidRPr="00C901F8">
        <w:rPr>
          <w:color w:val="auto"/>
        </w:rPr>
        <w:t xml:space="preserve"> </w:t>
      </w:r>
      <w:r w:rsidRPr="00C901F8">
        <w:rPr>
          <w:color w:val="auto"/>
        </w:rPr>
        <w:t xml:space="preserve">its implementation, </w:t>
      </w:r>
      <w:r w:rsidR="00AC55F8">
        <w:rPr>
          <w:color w:val="auto"/>
        </w:rPr>
        <w:t xml:space="preserve">to </w:t>
      </w:r>
      <w:r w:rsidRPr="00C901F8">
        <w:rPr>
          <w:color w:val="auto"/>
        </w:rPr>
        <w:t>behavioural changes</w:t>
      </w:r>
      <w:r w:rsidR="00AC55F8">
        <w:rPr>
          <w:color w:val="auto"/>
        </w:rPr>
        <w:t xml:space="preserve"> and</w:t>
      </w:r>
      <w:r w:rsidRPr="00C901F8">
        <w:rPr>
          <w:color w:val="auto"/>
        </w:rPr>
        <w:t xml:space="preserve"> processes that are triggered</w:t>
      </w:r>
      <w:r w:rsidR="00AC55F8">
        <w:rPr>
          <w:color w:val="auto"/>
        </w:rPr>
        <w:t>,</w:t>
      </w:r>
      <w:r w:rsidRPr="00C901F8">
        <w:rPr>
          <w:color w:val="auto"/>
        </w:rPr>
        <w:t xml:space="preserve"> to impacts, indirect and induced impacts, is a </w:t>
      </w:r>
      <w:proofErr w:type="gramStart"/>
      <w:r w:rsidRPr="00C901F8">
        <w:rPr>
          <w:color w:val="auto"/>
        </w:rPr>
        <w:t>particular challenge</w:t>
      </w:r>
      <w:proofErr w:type="gramEnd"/>
      <w:r w:rsidRPr="00C901F8">
        <w:rPr>
          <w:color w:val="auto"/>
        </w:rPr>
        <w:t xml:space="preserve"> for policy evaluation (</w:t>
      </w:r>
      <w:proofErr w:type="spellStart"/>
      <w:r w:rsidR="00A910FE" w:rsidRPr="005E6BFA">
        <w:rPr>
          <w:color w:val="auto"/>
        </w:rPr>
        <w:t>Forss</w:t>
      </w:r>
      <w:proofErr w:type="spellEnd"/>
      <w:r w:rsidR="00A910FE" w:rsidRPr="005E6BFA">
        <w:rPr>
          <w:color w:val="auto"/>
        </w:rPr>
        <w:t xml:space="preserve">, </w:t>
      </w:r>
      <w:proofErr w:type="spellStart"/>
      <w:r w:rsidR="00A910FE" w:rsidRPr="005E6BFA">
        <w:rPr>
          <w:color w:val="auto"/>
        </w:rPr>
        <w:t>Marra</w:t>
      </w:r>
      <w:proofErr w:type="spellEnd"/>
      <w:r w:rsidR="00A910FE" w:rsidRPr="005E6BFA">
        <w:rPr>
          <w:color w:val="auto"/>
        </w:rPr>
        <w:t xml:space="preserve"> and Schwartz </w:t>
      </w:r>
      <w:r w:rsidR="00765DAD" w:rsidRPr="005E6BFA">
        <w:rPr>
          <w:color w:val="auto"/>
        </w:rPr>
        <w:t xml:space="preserve">eds. </w:t>
      </w:r>
      <w:r w:rsidR="00040722" w:rsidRPr="005E6BFA">
        <w:rPr>
          <w:color w:val="auto"/>
        </w:rPr>
        <w:t>2011</w:t>
      </w:r>
      <w:r w:rsidRPr="00C901F8">
        <w:rPr>
          <w:color w:val="auto"/>
        </w:rPr>
        <w:t xml:space="preserve">). </w:t>
      </w:r>
      <w:r w:rsidR="00F371C7" w:rsidRPr="00C901F8">
        <w:rPr>
          <w:color w:val="auto"/>
        </w:rPr>
        <w:t>A</w:t>
      </w:r>
      <w:r w:rsidRPr="00C901F8">
        <w:rPr>
          <w:color w:val="auto"/>
        </w:rPr>
        <w:t xml:space="preserve"> conceptual approach </w:t>
      </w:r>
      <w:r w:rsidR="00F371C7" w:rsidRPr="00C901F8">
        <w:rPr>
          <w:color w:val="auto"/>
        </w:rPr>
        <w:t xml:space="preserve">was adopted </w:t>
      </w:r>
      <w:r w:rsidR="00AC55F8">
        <w:rPr>
          <w:color w:val="auto"/>
        </w:rPr>
        <w:t xml:space="preserve">in Part B of this report which </w:t>
      </w:r>
      <w:r w:rsidR="00A07B05" w:rsidRPr="00C901F8">
        <w:rPr>
          <w:color w:val="auto"/>
        </w:rPr>
        <w:t>aim</w:t>
      </w:r>
      <w:r w:rsidR="00AC55F8">
        <w:rPr>
          <w:color w:val="auto"/>
        </w:rPr>
        <w:t>s</w:t>
      </w:r>
      <w:r w:rsidR="00A07B05" w:rsidRPr="00C901F8">
        <w:rPr>
          <w:color w:val="auto"/>
        </w:rPr>
        <w:t xml:space="preserve"> </w:t>
      </w:r>
      <w:r w:rsidRPr="00C901F8">
        <w:rPr>
          <w:color w:val="auto"/>
        </w:rPr>
        <w:t xml:space="preserve">to minimize the problem of attribution </w:t>
      </w:r>
      <w:r w:rsidR="00A07B05" w:rsidRPr="00C901F8">
        <w:rPr>
          <w:color w:val="auto"/>
        </w:rPr>
        <w:t xml:space="preserve">by </w:t>
      </w:r>
      <w:r w:rsidRPr="00C901F8">
        <w:rPr>
          <w:color w:val="auto"/>
        </w:rPr>
        <w:t>combin</w:t>
      </w:r>
      <w:r w:rsidR="00A07B05" w:rsidRPr="00C901F8">
        <w:rPr>
          <w:color w:val="auto"/>
        </w:rPr>
        <w:t>ing</w:t>
      </w:r>
      <w:r w:rsidRPr="00C901F8">
        <w:rPr>
          <w:color w:val="auto"/>
        </w:rPr>
        <w:t xml:space="preserve"> a top-down and a bottom-up perspective </w:t>
      </w:r>
      <w:r w:rsidRPr="005E6BFA">
        <w:rPr>
          <w:color w:val="auto"/>
        </w:rPr>
        <w:t xml:space="preserve">(Sabatier </w:t>
      </w:r>
      <w:r w:rsidR="00040722" w:rsidRPr="005E6BFA">
        <w:rPr>
          <w:color w:val="auto"/>
        </w:rPr>
        <w:t>1986</w:t>
      </w:r>
      <w:r w:rsidRPr="005E6BFA">
        <w:rPr>
          <w:color w:val="auto"/>
        </w:rPr>
        <w:t>)</w:t>
      </w:r>
      <w:r w:rsidRPr="00C901F8">
        <w:rPr>
          <w:color w:val="auto"/>
        </w:rPr>
        <w:t xml:space="preserve">. The top-down perspective </w:t>
      </w:r>
      <w:r w:rsidR="00251035" w:rsidRPr="00C901F8">
        <w:rPr>
          <w:color w:val="auto"/>
        </w:rPr>
        <w:t xml:space="preserve">shown in </w:t>
      </w:r>
      <w:r w:rsidR="00AC55F8">
        <w:rPr>
          <w:color w:val="auto"/>
        </w:rPr>
        <w:fldChar w:fldCharType="begin"/>
      </w:r>
      <w:r w:rsidR="00AC55F8">
        <w:rPr>
          <w:color w:val="auto"/>
        </w:rPr>
        <w:instrText xml:space="preserve"> REF _Ref525082460 \h </w:instrText>
      </w:r>
      <w:r w:rsidR="00AC55F8">
        <w:rPr>
          <w:color w:val="auto"/>
        </w:rPr>
      </w:r>
      <w:r w:rsidR="00AC55F8">
        <w:rPr>
          <w:color w:val="auto"/>
        </w:rPr>
        <w:fldChar w:fldCharType="separate"/>
      </w:r>
      <w:r w:rsidR="00AC55F8" w:rsidRPr="00EB28E7">
        <w:t>Figure 10.1</w:t>
      </w:r>
      <w:r w:rsidR="00AC55F8">
        <w:rPr>
          <w:color w:val="auto"/>
        </w:rPr>
        <w:fldChar w:fldCharType="end"/>
      </w:r>
      <w:r w:rsidR="00AC55F8">
        <w:rPr>
          <w:color w:val="auto"/>
        </w:rPr>
        <w:t xml:space="preserve"> </w:t>
      </w:r>
      <w:r w:rsidR="00251035" w:rsidRPr="00C901F8">
        <w:rPr>
          <w:color w:val="auto"/>
        </w:rPr>
        <w:t xml:space="preserve">starts </w:t>
      </w:r>
      <w:r w:rsidRPr="00C901F8">
        <w:rPr>
          <w:color w:val="auto"/>
        </w:rPr>
        <w:t xml:space="preserve">with the policy and traces the causal chains that are expected from the implementation of the policy. The bottom-up perspective starts from </w:t>
      </w:r>
      <w:r w:rsidRPr="00C901F8">
        <w:rPr>
          <w:color w:val="auto"/>
        </w:rPr>
        <w:lastRenderedPageBreak/>
        <w:t xml:space="preserve">the observed outcomes and </w:t>
      </w:r>
      <w:r w:rsidR="00251035" w:rsidRPr="00C901F8">
        <w:rPr>
          <w:color w:val="auto"/>
        </w:rPr>
        <w:t>uses policy</w:t>
      </w:r>
      <w:r w:rsidR="00220239">
        <w:rPr>
          <w:color w:val="auto"/>
        </w:rPr>
        <w:t>-</w:t>
      </w:r>
      <w:r w:rsidR="00251035" w:rsidRPr="00C901F8">
        <w:rPr>
          <w:color w:val="auto"/>
        </w:rPr>
        <w:t xml:space="preserve">relevant indicators to </w:t>
      </w:r>
      <w:r w:rsidRPr="00C901F8">
        <w:rPr>
          <w:color w:val="auto"/>
        </w:rPr>
        <w:t xml:space="preserve">trace the causalities back to </w:t>
      </w:r>
      <w:r w:rsidR="00AC55F8">
        <w:rPr>
          <w:color w:val="auto"/>
        </w:rPr>
        <w:t xml:space="preserve">the </w:t>
      </w:r>
      <w:r w:rsidRPr="00C901F8">
        <w:rPr>
          <w:color w:val="auto"/>
        </w:rPr>
        <w:t xml:space="preserve">policy interventions. This </w:t>
      </w:r>
      <w:r w:rsidR="00C377FC" w:rsidRPr="00C901F8">
        <w:rPr>
          <w:color w:val="auto"/>
        </w:rPr>
        <w:t xml:space="preserve">helps </w:t>
      </w:r>
      <w:r w:rsidRPr="00C901F8">
        <w:rPr>
          <w:color w:val="auto"/>
        </w:rPr>
        <w:t xml:space="preserve">analysts to evaluate the effects of policy mixes. Both perspectives have their shortcomings – the top-down perspective tends to </w:t>
      </w:r>
      <w:r w:rsidRPr="005E6BFA">
        <w:rPr>
          <w:color w:val="auto"/>
        </w:rPr>
        <w:t>overemphas</w:t>
      </w:r>
      <w:r w:rsidR="00040722" w:rsidRPr="005E6BFA">
        <w:rPr>
          <w:color w:val="auto"/>
        </w:rPr>
        <w:t>ize</w:t>
      </w:r>
      <w:r w:rsidRPr="00C901F8">
        <w:rPr>
          <w:color w:val="auto"/>
        </w:rPr>
        <w:t xml:space="preserve"> the impacts of policies compared to other factors, the bottom-up perspective tends to </w:t>
      </w:r>
      <w:r w:rsidRPr="005E6BFA">
        <w:rPr>
          <w:color w:val="auto"/>
        </w:rPr>
        <w:t>overemphas</w:t>
      </w:r>
      <w:r w:rsidR="00040722" w:rsidRPr="005E6BFA">
        <w:rPr>
          <w:color w:val="auto"/>
        </w:rPr>
        <w:t>ize</w:t>
      </w:r>
      <w:r w:rsidRPr="00C901F8">
        <w:rPr>
          <w:color w:val="auto"/>
        </w:rPr>
        <w:t xml:space="preserve"> the impacts of contextual factors.</w:t>
      </w:r>
    </w:p>
    <w:p w14:paraId="13DF69A2" w14:textId="77777777" w:rsidR="002E6D4A" w:rsidRPr="00C901F8" w:rsidRDefault="002E6D4A" w:rsidP="00566049">
      <w:pPr>
        <w:rPr>
          <w:color w:val="auto"/>
        </w:rPr>
      </w:pPr>
    </w:p>
    <w:p w14:paraId="7CE421F2" w14:textId="335B1A2E" w:rsidR="00040722" w:rsidRPr="00C901F8" w:rsidRDefault="002B4B64" w:rsidP="00566049">
      <w:pPr>
        <w:rPr>
          <w:color w:val="auto"/>
        </w:rPr>
      </w:pPr>
      <w:bookmarkStart w:id="6" w:name="_tyjcwt" w:colFirst="0" w:colLast="0"/>
      <w:bookmarkEnd w:id="6"/>
      <w:r>
        <w:rPr>
          <w:noProof/>
        </w:rPr>
        <w:drawing>
          <wp:inline distT="0" distB="0" distL="0" distR="0" wp14:anchorId="4A867AA2" wp14:editId="4464B0C6">
            <wp:extent cx="5732145" cy="338836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2145" cy="3388360"/>
                    </a:xfrm>
                    <a:prstGeom prst="rect">
                      <a:avLst/>
                    </a:prstGeom>
                  </pic:spPr>
                </pic:pic>
              </a:graphicData>
            </a:graphic>
          </wp:inline>
        </w:drawing>
      </w:r>
    </w:p>
    <w:p w14:paraId="56F746A9" w14:textId="77777777" w:rsidR="00040722" w:rsidRPr="00EB28E7" w:rsidRDefault="00406184" w:rsidP="00AC55F8">
      <w:pPr>
        <w:pStyle w:val="Caption"/>
      </w:pPr>
      <w:bookmarkStart w:id="7" w:name="_Ref525082460"/>
      <w:r w:rsidRPr="00EB28E7">
        <w:t xml:space="preserve">Figure </w:t>
      </w:r>
      <w:fldSimple w:instr=" STYLEREF 1 \s ">
        <w:r w:rsidRPr="00EB28E7">
          <w:t>10</w:t>
        </w:r>
      </w:fldSimple>
      <w:r w:rsidRPr="00EB28E7">
        <w:t>.</w:t>
      </w:r>
      <w:r w:rsidR="002B4B64">
        <w:fldChar w:fldCharType="begin"/>
      </w:r>
      <w:r w:rsidR="002B4B64">
        <w:instrText xml:space="preserve"> SEQ Figure \* ARABIC \s 1 </w:instrText>
      </w:r>
      <w:r w:rsidR="002B4B64">
        <w:fldChar w:fldCharType="separate"/>
      </w:r>
      <w:r w:rsidRPr="00EB28E7">
        <w:t>1</w:t>
      </w:r>
      <w:r w:rsidR="002B4B64">
        <w:fldChar w:fldCharType="end"/>
      </w:r>
      <w:bookmarkEnd w:id="7"/>
      <w:r w:rsidRPr="00EB28E7">
        <w:t>: Methodol</w:t>
      </w:r>
      <w:r w:rsidR="00040722" w:rsidRPr="00EB28E7">
        <w:t>ogical</w:t>
      </w:r>
      <w:r w:rsidRPr="00EB28E7">
        <w:t xml:space="preserve"> </w:t>
      </w:r>
      <w:r w:rsidR="00B8788D" w:rsidRPr="00EB28E7">
        <w:t>approach for assessing policy effectiveness</w:t>
      </w:r>
      <w:r w:rsidR="000A2DC0" w:rsidRPr="00EB28E7">
        <w:t>: top-down and bottom-up approach</w:t>
      </w:r>
    </w:p>
    <w:p w14:paraId="675EA413" w14:textId="77777777" w:rsidR="00220239" w:rsidRPr="005E6BFA" w:rsidRDefault="00220239" w:rsidP="00EB28E7">
      <w:pPr>
        <w:pStyle w:val="Caption"/>
      </w:pPr>
      <w:r>
        <w:t xml:space="preserve">DPSIR: </w:t>
      </w:r>
      <w:r w:rsidRPr="00220239">
        <w:t>Drivers, Pressures, State, Impact, Response</w:t>
      </w:r>
      <w:r>
        <w:t>.</w:t>
      </w:r>
    </w:p>
    <w:p w14:paraId="0BEE1BB4" w14:textId="2F50958D" w:rsidR="00040722" w:rsidRPr="00C901F8" w:rsidRDefault="00251035" w:rsidP="00251035">
      <w:pPr>
        <w:rPr>
          <w:color w:val="auto"/>
        </w:rPr>
      </w:pPr>
      <w:r w:rsidRPr="00C901F8">
        <w:rPr>
          <w:color w:val="auto"/>
        </w:rPr>
        <w:t>The conceptual approach taken in relation to policy effectiveness in this section follows this dual perspective, combining a theory-based top-down evaluation and a bottom-up</w:t>
      </w:r>
      <w:r w:rsidR="00220239">
        <w:rPr>
          <w:color w:val="auto"/>
        </w:rPr>
        <w:t>,</w:t>
      </w:r>
      <w:r w:rsidRPr="00C901F8">
        <w:rPr>
          <w:color w:val="auto"/>
        </w:rPr>
        <w:t xml:space="preserve"> observed outcomes-based evaluation. Despite the</w:t>
      </w:r>
      <w:r w:rsidR="00AC55F8">
        <w:rPr>
          <w:color w:val="auto"/>
        </w:rPr>
        <w:t xml:space="preserve"> recognized</w:t>
      </w:r>
      <w:r w:rsidRPr="00C901F8">
        <w:rPr>
          <w:color w:val="auto"/>
        </w:rPr>
        <w:t xml:space="preserve"> shortcomings, this dual approach is the best available option for assessing policy effectiveness.</w:t>
      </w:r>
    </w:p>
    <w:p w14:paraId="48A97439" w14:textId="30ED91A3" w:rsidR="00040722" w:rsidRPr="00C901F8" w:rsidRDefault="00251035" w:rsidP="00251035">
      <w:pPr>
        <w:rPr>
          <w:color w:val="auto"/>
        </w:rPr>
      </w:pPr>
      <w:r w:rsidRPr="00C901F8">
        <w:rPr>
          <w:color w:val="auto"/>
        </w:rPr>
        <w:t xml:space="preserve">The top-down approach is particularly suitable for identifying policies that may serve as examples of good </w:t>
      </w:r>
      <w:r w:rsidR="00040722" w:rsidRPr="005E6BFA">
        <w:rPr>
          <w:color w:val="auto"/>
        </w:rPr>
        <w:t>practice</w:t>
      </w:r>
      <w:r w:rsidRPr="00C901F8">
        <w:rPr>
          <w:color w:val="auto"/>
        </w:rPr>
        <w:t xml:space="preserve"> that can be applied elsewhere (</w:t>
      </w:r>
      <w:r w:rsidR="00F44B0B" w:rsidRPr="00C901F8">
        <w:rPr>
          <w:color w:val="auto"/>
        </w:rPr>
        <w:t>the primary goal of such evaluations</w:t>
      </w:r>
      <w:r w:rsidRPr="00C901F8">
        <w:rPr>
          <w:color w:val="auto"/>
        </w:rPr>
        <w:t xml:space="preserve">). </w:t>
      </w:r>
      <w:r w:rsidR="007C5C6F">
        <w:rPr>
          <w:color w:val="auto"/>
        </w:rPr>
        <w:t xml:space="preserve">Chapters 12-17 </w:t>
      </w:r>
      <w:r w:rsidRPr="00C901F8">
        <w:rPr>
          <w:color w:val="auto"/>
        </w:rPr>
        <w:t xml:space="preserve">provide a narrative description of the most commonly implemented or most important policy instruments in </w:t>
      </w:r>
      <w:r w:rsidR="0022285D">
        <w:rPr>
          <w:color w:val="auto"/>
        </w:rPr>
        <w:t xml:space="preserve">the five </w:t>
      </w:r>
      <w:r w:rsidRPr="00C901F8">
        <w:rPr>
          <w:color w:val="auto"/>
        </w:rPr>
        <w:t>thematic area</w:t>
      </w:r>
      <w:r w:rsidR="0022285D">
        <w:rPr>
          <w:color w:val="auto"/>
        </w:rPr>
        <w:t>s</w:t>
      </w:r>
      <w:r w:rsidRPr="00C901F8">
        <w:rPr>
          <w:color w:val="auto"/>
        </w:rPr>
        <w:t xml:space="preserve">, as </w:t>
      </w:r>
      <w:r w:rsidR="00040722" w:rsidRPr="005E6BFA">
        <w:rPr>
          <w:color w:val="auto"/>
        </w:rPr>
        <w:t>well</w:t>
      </w:r>
      <w:r w:rsidRPr="00C901F8">
        <w:rPr>
          <w:color w:val="auto"/>
        </w:rPr>
        <w:t xml:space="preserve"> as the cross-cutting policies that have positive or negative impacts on </w:t>
      </w:r>
      <w:r w:rsidR="0022285D">
        <w:rPr>
          <w:color w:val="auto"/>
        </w:rPr>
        <w:t>the</w:t>
      </w:r>
      <w:r w:rsidR="0022285D" w:rsidRPr="00C901F8">
        <w:rPr>
          <w:color w:val="auto"/>
        </w:rPr>
        <w:t xml:space="preserve"> </w:t>
      </w:r>
      <w:r w:rsidRPr="00C901F8">
        <w:rPr>
          <w:color w:val="auto"/>
        </w:rPr>
        <w:t>theme</w:t>
      </w:r>
      <w:r w:rsidR="0022285D">
        <w:rPr>
          <w:color w:val="auto"/>
        </w:rPr>
        <w:t>s</w:t>
      </w:r>
      <w:r w:rsidRPr="00C901F8">
        <w:rPr>
          <w:color w:val="auto"/>
        </w:rPr>
        <w:t xml:space="preserve">. In addition, they have identified policy instruments at the cutting edge that appear to have considerable potential but have not been widely adopted to date, through a series of case studies, evaluated against the criteria listed in </w:t>
      </w:r>
      <w:r w:rsidR="00220239" w:rsidRPr="00C901F8">
        <w:rPr>
          <w:color w:val="auto"/>
        </w:rPr>
        <w:t xml:space="preserve">Section </w:t>
      </w:r>
      <w:r w:rsidR="0022285D">
        <w:rPr>
          <w:color w:val="auto"/>
        </w:rPr>
        <w:fldChar w:fldCharType="begin"/>
      </w:r>
      <w:r w:rsidR="0022285D">
        <w:rPr>
          <w:color w:val="auto"/>
        </w:rPr>
        <w:instrText xml:space="preserve"> REF _Ref528918061 \r \h </w:instrText>
      </w:r>
      <w:r w:rsidR="0022285D">
        <w:rPr>
          <w:color w:val="auto"/>
        </w:rPr>
      </w:r>
      <w:r w:rsidR="0022285D">
        <w:rPr>
          <w:color w:val="auto"/>
        </w:rPr>
        <w:fldChar w:fldCharType="separate"/>
      </w:r>
      <w:r w:rsidR="0022285D">
        <w:rPr>
          <w:color w:val="auto"/>
        </w:rPr>
        <w:t>10.6</w:t>
      </w:r>
      <w:r w:rsidR="0022285D">
        <w:rPr>
          <w:color w:val="auto"/>
        </w:rPr>
        <w:fldChar w:fldCharType="end"/>
      </w:r>
      <w:r w:rsidRPr="00C901F8">
        <w:rPr>
          <w:color w:val="auto"/>
        </w:rPr>
        <w:t xml:space="preserve">. </w:t>
      </w:r>
      <w:r w:rsidR="00AC55F8">
        <w:rPr>
          <w:color w:val="auto"/>
        </w:rPr>
        <w:t>However, a quantification of aggregate effects of this mix of policies will not be possible due to a lack of representative sampling and the limited number of policies reviewed.</w:t>
      </w:r>
    </w:p>
    <w:p w14:paraId="27DC9283" w14:textId="24F8D749" w:rsidR="00040722" w:rsidRPr="00C901F8" w:rsidRDefault="00251035" w:rsidP="00251035">
      <w:pPr>
        <w:rPr>
          <w:color w:val="auto"/>
        </w:rPr>
      </w:pPr>
      <w:r w:rsidRPr="00C901F8">
        <w:rPr>
          <w:color w:val="auto"/>
        </w:rPr>
        <w:lastRenderedPageBreak/>
        <w:t>The bottom-up evaluation, based on policy</w:t>
      </w:r>
      <w:r w:rsidR="00597D5D">
        <w:rPr>
          <w:color w:val="auto"/>
        </w:rPr>
        <w:t>-</w:t>
      </w:r>
      <w:r w:rsidRPr="00C901F8">
        <w:rPr>
          <w:color w:val="auto"/>
        </w:rPr>
        <w:t xml:space="preserve">relevant indicators, complements the analysis and contributes </w:t>
      </w:r>
      <w:proofErr w:type="gramStart"/>
      <w:r w:rsidRPr="00C901F8">
        <w:rPr>
          <w:color w:val="auto"/>
        </w:rPr>
        <w:t>in particular to</w:t>
      </w:r>
      <w:proofErr w:type="gramEnd"/>
      <w:r w:rsidRPr="00C901F8">
        <w:rPr>
          <w:color w:val="auto"/>
        </w:rPr>
        <w:t xml:space="preserve"> the quantification and the identification of needs for further action (goal 2 of the evaluation). The methods for each approach are further </w:t>
      </w:r>
      <w:r w:rsidR="00040722" w:rsidRPr="00B4619D">
        <w:rPr>
          <w:color w:val="auto"/>
        </w:rPr>
        <w:t>elaborat</w:t>
      </w:r>
      <w:r w:rsidRPr="00C901F8">
        <w:rPr>
          <w:color w:val="auto"/>
        </w:rPr>
        <w:t xml:space="preserve">ed in the following sections. </w:t>
      </w:r>
      <w:r w:rsidR="00AC55F8">
        <w:rPr>
          <w:color w:val="auto"/>
        </w:rPr>
        <w:fldChar w:fldCharType="begin"/>
      </w:r>
      <w:r w:rsidR="00AC55F8">
        <w:rPr>
          <w:color w:val="auto"/>
        </w:rPr>
        <w:instrText xml:space="preserve"> REF _Ref525082460 \h </w:instrText>
      </w:r>
      <w:r w:rsidR="00AC55F8">
        <w:rPr>
          <w:color w:val="auto"/>
        </w:rPr>
      </w:r>
      <w:r w:rsidR="00AC55F8">
        <w:rPr>
          <w:color w:val="auto"/>
        </w:rPr>
        <w:fldChar w:fldCharType="separate"/>
      </w:r>
      <w:r w:rsidR="00AC55F8" w:rsidRPr="00EB28E7">
        <w:t>Figure 10.1</w:t>
      </w:r>
      <w:r w:rsidR="00AC55F8">
        <w:rPr>
          <w:color w:val="auto"/>
        </w:rPr>
        <w:fldChar w:fldCharType="end"/>
      </w:r>
      <w:r w:rsidR="003557F7" w:rsidRPr="00C901F8">
        <w:rPr>
          <w:color w:val="auto"/>
        </w:rPr>
        <w:t xml:space="preserve"> graphically summarizes how to assess policy effectiveness through </w:t>
      </w:r>
      <w:r w:rsidR="00AC55F8">
        <w:rPr>
          <w:color w:val="auto"/>
        </w:rPr>
        <w:t xml:space="preserve">these </w:t>
      </w:r>
      <w:r w:rsidR="003557F7" w:rsidRPr="00C901F8">
        <w:rPr>
          <w:color w:val="auto"/>
        </w:rPr>
        <w:t>top-down and bottom-up evaluations.</w:t>
      </w:r>
    </w:p>
    <w:p w14:paraId="53ED8354" w14:textId="77777777" w:rsidR="00040722" w:rsidRPr="00C901F8" w:rsidRDefault="00024BBE" w:rsidP="00AE59CD">
      <w:pPr>
        <w:pStyle w:val="Heading2"/>
      </w:pPr>
      <w:bookmarkStart w:id="8" w:name="_3dy6vkm" w:colFirst="0" w:colLast="0"/>
      <w:bookmarkStart w:id="9" w:name="_Toc511749737"/>
      <w:bookmarkStart w:id="10" w:name="_Ref528918061"/>
      <w:bookmarkEnd w:id="8"/>
      <w:r w:rsidRPr="00C901F8">
        <w:t>Top-</w:t>
      </w:r>
      <w:r w:rsidR="007B50E3" w:rsidRPr="00C901F8">
        <w:t>d</w:t>
      </w:r>
      <w:r w:rsidRPr="00C901F8">
        <w:t xml:space="preserve">own </w:t>
      </w:r>
      <w:r w:rsidR="007B50E3" w:rsidRPr="00C901F8">
        <w:t>e</w:t>
      </w:r>
      <w:r w:rsidRPr="00C901F8">
        <w:t>valuation</w:t>
      </w:r>
      <w:bookmarkEnd w:id="9"/>
      <w:r w:rsidRPr="00C901F8">
        <w:t xml:space="preserve"> </w:t>
      </w:r>
      <w:r w:rsidR="007B50E3" w:rsidRPr="00C901F8">
        <w:t>methodol</w:t>
      </w:r>
      <w:r w:rsidR="00040722" w:rsidRPr="00B4619D">
        <w:t>ogy</w:t>
      </w:r>
      <w:bookmarkEnd w:id="10"/>
    </w:p>
    <w:p w14:paraId="59D42241" w14:textId="7967C06A" w:rsidR="00040722" w:rsidRPr="00C901F8" w:rsidRDefault="007C3046" w:rsidP="00566049">
      <w:pPr>
        <w:rPr>
          <w:color w:val="auto"/>
        </w:rPr>
      </w:pPr>
      <w:r w:rsidRPr="00C901F8">
        <w:rPr>
          <w:color w:val="auto"/>
        </w:rPr>
        <w:t>T</w:t>
      </w:r>
      <w:r w:rsidR="00024BBE" w:rsidRPr="00C901F8">
        <w:rPr>
          <w:color w:val="auto"/>
        </w:rPr>
        <w:t>he top</w:t>
      </w:r>
      <w:r w:rsidRPr="00C901F8">
        <w:rPr>
          <w:color w:val="auto"/>
        </w:rPr>
        <w:t>-</w:t>
      </w:r>
      <w:r w:rsidR="00024BBE" w:rsidRPr="00C901F8">
        <w:rPr>
          <w:color w:val="auto"/>
        </w:rPr>
        <w:t xml:space="preserve">down evaluation of policy effectiveness </w:t>
      </w:r>
      <w:r w:rsidR="00170E1E" w:rsidRPr="00C901F8">
        <w:rPr>
          <w:color w:val="auto"/>
        </w:rPr>
        <w:t xml:space="preserve">in GEO-6 </w:t>
      </w:r>
      <w:r w:rsidRPr="00C901F8">
        <w:rPr>
          <w:color w:val="auto"/>
        </w:rPr>
        <w:t xml:space="preserve">starts with </w:t>
      </w:r>
      <w:r w:rsidR="00024BBE" w:rsidRPr="00C901F8">
        <w:rPr>
          <w:color w:val="auto"/>
        </w:rPr>
        <w:t xml:space="preserve">the selection of </w:t>
      </w:r>
      <w:r w:rsidRPr="00C901F8">
        <w:rPr>
          <w:color w:val="auto"/>
        </w:rPr>
        <w:t xml:space="preserve">policies and governance arrangements and associated </w:t>
      </w:r>
      <w:r w:rsidR="00024BBE" w:rsidRPr="00C901F8">
        <w:rPr>
          <w:color w:val="auto"/>
        </w:rPr>
        <w:t xml:space="preserve">cases. For each thematic area, </w:t>
      </w:r>
      <w:r w:rsidR="0022285D">
        <w:rPr>
          <w:color w:val="auto"/>
        </w:rPr>
        <w:t xml:space="preserve">up to </w:t>
      </w:r>
      <w:r w:rsidRPr="00C901F8">
        <w:rPr>
          <w:color w:val="auto"/>
        </w:rPr>
        <w:t>five</w:t>
      </w:r>
      <w:r w:rsidR="00024BBE" w:rsidRPr="00C901F8">
        <w:rPr>
          <w:color w:val="auto"/>
        </w:rPr>
        <w:t xml:space="preserve"> promising </w:t>
      </w:r>
      <w:r w:rsidRPr="00C901F8">
        <w:rPr>
          <w:color w:val="auto"/>
        </w:rPr>
        <w:t>polic</w:t>
      </w:r>
      <w:r w:rsidR="008916DB" w:rsidRPr="00C901F8">
        <w:rPr>
          <w:color w:val="auto"/>
        </w:rPr>
        <w:t>y types</w:t>
      </w:r>
      <w:r w:rsidRPr="00C901F8">
        <w:rPr>
          <w:color w:val="auto"/>
        </w:rPr>
        <w:t xml:space="preserve"> </w:t>
      </w:r>
      <w:r w:rsidR="008916DB" w:rsidRPr="00C901F8">
        <w:rPr>
          <w:color w:val="auto"/>
        </w:rPr>
        <w:t xml:space="preserve">or governance arrangements </w:t>
      </w:r>
      <w:r w:rsidR="00F548BC" w:rsidRPr="00C901F8">
        <w:rPr>
          <w:color w:val="auto"/>
        </w:rPr>
        <w:t xml:space="preserve">are selected </w:t>
      </w:r>
      <w:r w:rsidRPr="00C901F8">
        <w:rPr>
          <w:color w:val="auto"/>
        </w:rPr>
        <w:t>by</w:t>
      </w:r>
      <w:r w:rsidR="007D28B2" w:rsidRPr="00C901F8">
        <w:rPr>
          <w:color w:val="auto"/>
        </w:rPr>
        <w:t xml:space="preserve"> </w:t>
      </w:r>
      <w:r w:rsidR="003557F7" w:rsidRPr="00C901F8">
        <w:rPr>
          <w:color w:val="auto"/>
        </w:rPr>
        <w:t>considering</w:t>
      </w:r>
      <w:r w:rsidRPr="00C901F8">
        <w:rPr>
          <w:color w:val="auto"/>
        </w:rPr>
        <w:t xml:space="preserve"> the coverage of the v</w:t>
      </w:r>
      <w:r w:rsidR="00024BBE" w:rsidRPr="00C901F8">
        <w:rPr>
          <w:color w:val="auto"/>
        </w:rPr>
        <w:t>ariety of policy types and governance arrangements</w:t>
      </w:r>
      <w:r w:rsidRPr="00C901F8">
        <w:rPr>
          <w:color w:val="auto"/>
        </w:rPr>
        <w:t>, g</w:t>
      </w:r>
      <w:r w:rsidR="00024BBE" w:rsidRPr="00C901F8">
        <w:rPr>
          <w:color w:val="auto"/>
        </w:rPr>
        <w:t>e</w:t>
      </w:r>
      <w:r w:rsidR="00040722" w:rsidRPr="00B4619D">
        <w:rPr>
          <w:color w:val="auto"/>
        </w:rPr>
        <w:t>ogra</w:t>
      </w:r>
      <w:r w:rsidR="00024BBE" w:rsidRPr="00C901F8">
        <w:rPr>
          <w:color w:val="auto"/>
        </w:rPr>
        <w:t xml:space="preserve">phical diversity </w:t>
      </w:r>
      <w:r w:rsidRPr="00C901F8">
        <w:rPr>
          <w:color w:val="auto"/>
        </w:rPr>
        <w:t>and the a</w:t>
      </w:r>
      <w:r w:rsidR="00024BBE" w:rsidRPr="00C901F8">
        <w:rPr>
          <w:color w:val="auto"/>
        </w:rPr>
        <w:t>vailability of data</w:t>
      </w:r>
      <w:r w:rsidRPr="00C901F8">
        <w:rPr>
          <w:color w:val="auto"/>
        </w:rPr>
        <w:t>.</w:t>
      </w:r>
    </w:p>
    <w:p w14:paraId="3A32F14E" w14:textId="6AC6A215" w:rsidR="00040722" w:rsidRPr="00C901F8" w:rsidRDefault="008916DB" w:rsidP="00566049">
      <w:pPr>
        <w:rPr>
          <w:color w:val="auto"/>
        </w:rPr>
      </w:pPr>
      <w:r w:rsidRPr="00C901F8">
        <w:rPr>
          <w:color w:val="auto"/>
        </w:rPr>
        <w:t xml:space="preserve">These </w:t>
      </w:r>
      <w:r w:rsidR="003A3C99" w:rsidRPr="00C901F8">
        <w:rPr>
          <w:color w:val="auto"/>
        </w:rPr>
        <w:t>policy types</w:t>
      </w:r>
      <w:r w:rsidRPr="00C901F8">
        <w:rPr>
          <w:color w:val="auto"/>
        </w:rPr>
        <w:t xml:space="preserve"> </w:t>
      </w:r>
      <w:r w:rsidR="003A3C99" w:rsidRPr="00C901F8">
        <w:rPr>
          <w:color w:val="auto"/>
        </w:rPr>
        <w:t xml:space="preserve">and governance arrangements </w:t>
      </w:r>
      <w:r w:rsidRPr="00C901F8">
        <w:rPr>
          <w:color w:val="auto"/>
        </w:rPr>
        <w:t xml:space="preserve">are then evaluated </w:t>
      </w:r>
      <w:r w:rsidR="003A3C99" w:rsidRPr="00C901F8">
        <w:rPr>
          <w:color w:val="auto"/>
        </w:rPr>
        <w:t>using</w:t>
      </w:r>
      <w:r w:rsidR="00024BBE" w:rsidRPr="00C901F8">
        <w:rPr>
          <w:color w:val="auto"/>
        </w:rPr>
        <w:t xml:space="preserve"> </w:t>
      </w:r>
      <w:r w:rsidR="003A3C99" w:rsidRPr="00C901F8">
        <w:rPr>
          <w:color w:val="auto"/>
        </w:rPr>
        <w:t xml:space="preserve">the available knowledge based on </w:t>
      </w:r>
      <w:r w:rsidR="00024BBE" w:rsidRPr="00C901F8">
        <w:rPr>
          <w:color w:val="auto"/>
        </w:rPr>
        <w:t>peer</w:t>
      </w:r>
      <w:r w:rsidR="009619E2">
        <w:rPr>
          <w:color w:val="auto"/>
        </w:rPr>
        <w:t>-</w:t>
      </w:r>
      <w:r w:rsidR="00024BBE" w:rsidRPr="00C901F8">
        <w:rPr>
          <w:color w:val="auto"/>
        </w:rPr>
        <w:t>reviewed publications</w:t>
      </w:r>
      <w:r w:rsidR="00AC55F8">
        <w:rPr>
          <w:color w:val="auto"/>
        </w:rPr>
        <w:t>,</w:t>
      </w:r>
      <w:r w:rsidR="00024BBE" w:rsidRPr="00C901F8">
        <w:rPr>
          <w:color w:val="auto"/>
        </w:rPr>
        <w:t xml:space="preserve"> official </w:t>
      </w:r>
      <w:r w:rsidR="007C3046" w:rsidRPr="00C901F8">
        <w:rPr>
          <w:color w:val="auto"/>
        </w:rPr>
        <w:t xml:space="preserve">reports </w:t>
      </w:r>
      <w:r w:rsidRPr="00C901F8">
        <w:rPr>
          <w:color w:val="auto"/>
        </w:rPr>
        <w:t>a</w:t>
      </w:r>
      <w:r w:rsidR="007C3046" w:rsidRPr="00C901F8">
        <w:rPr>
          <w:color w:val="auto"/>
        </w:rPr>
        <w:t xml:space="preserve">nd </w:t>
      </w:r>
      <w:r w:rsidR="00024BBE" w:rsidRPr="00C901F8">
        <w:rPr>
          <w:color w:val="auto"/>
        </w:rPr>
        <w:t>statistics.</w:t>
      </w:r>
    </w:p>
    <w:p w14:paraId="4F600112" w14:textId="77777777" w:rsidR="00040722" w:rsidRPr="00C901F8" w:rsidRDefault="008916DB" w:rsidP="00566049">
      <w:pPr>
        <w:rPr>
          <w:color w:val="auto"/>
        </w:rPr>
      </w:pPr>
      <w:r w:rsidRPr="00C901F8">
        <w:rPr>
          <w:color w:val="auto"/>
        </w:rPr>
        <w:t xml:space="preserve">Next, for each policy type or governance arrangement selected and evaluated, a case </w:t>
      </w:r>
      <w:r w:rsidR="003A3C99" w:rsidRPr="00C901F8">
        <w:rPr>
          <w:color w:val="auto"/>
        </w:rPr>
        <w:t xml:space="preserve">exemplifying the implementation of the policy </w:t>
      </w:r>
      <w:r w:rsidRPr="00C901F8">
        <w:rPr>
          <w:color w:val="auto"/>
        </w:rPr>
        <w:t xml:space="preserve">is </w:t>
      </w:r>
      <w:r w:rsidR="003A3C99" w:rsidRPr="00C901F8">
        <w:rPr>
          <w:color w:val="auto"/>
        </w:rPr>
        <w:t xml:space="preserve">chosen and </w:t>
      </w:r>
      <w:r w:rsidRPr="00C901F8">
        <w:rPr>
          <w:color w:val="auto"/>
        </w:rPr>
        <w:t>assess</w:t>
      </w:r>
      <w:r w:rsidR="003A3C99" w:rsidRPr="00C901F8">
        <w:rPr>
          <w:color w:val="auto"/>
        </w:rPr>
        <w:t>ed</w:t>
      </w:r>
      <w:r w:rsidRPr="00C901F8">
        <w:rPr>
          <w:color w:val="auto"/>
        </w:rPr>
        <w:t xml:space="preserve"> in terms of policy effectiveness</w:t>
      </w:r>
      <w:r w:rsidR="003A3C99" w:rsidRPr="00C901F8">
        <w:rPr>
          <w:color w:val="auto"/>
        </w:rPr>
        <w:t xml:space="preserve"> according to a common research protocol</w:t>
      </w:r>
      <w:r w:rsidR="00176111" w:rsidRPr="00C901F8">
        <w:rPr>
          <w:color w:val="auto"/>
        </w:rPr>
        <w:t xml:space="preserve"> covering the achievement of stated objectives or improvement of relevant indicators, the quality criteria of policy formulation and implementation (e.g. level of participation</w:t>
      </w:r>
      <w:r w:rsidR="007D28B2" w:rsidRPr="00C901F8">
        <w:rPr>
          <w:color w:val="auto"/>
        </w:rPr>
        <w:t>)</w:t>
      </w:r>
      <w:r w:rsidR="00176111" w:rsidRPr="00C901F8">
        <w:rPr>
          <w:color w:val="auto"/>
        </w:rPr>
        <w:t xml:space="preserve">, </w:t>
      </w:r>
      <w:r w:rsidR="00176111" w:rsidRPr="005E6BFA">
        <w:rPr>
          <w:color w:val="auto"/>
        </w:rPr>
        <w:t>ex ante</w:t>
      </w:r>
      <w:r w:rsidR="00176111" w:rsidRPr="00C901F8">
        <w:rPr>
          <w:i/>
          <w:color w:val="auto"/>
        </w:rPr>
        <w:t xml:space="preserve"> </w:t>
      </w:r>
      <w:r w:rsidR="00176111" w:rsidRPr="00C901F8">
        <w:rPr>
          <w:color w:val="auto"/>
        </w:rPr>
        <w:t xml:space="preserve">or </w:t>
      </w:r>
      <w:r w:rsidR="00176111" w:rsidRPr="005E6BFA">
        <w:rPr>
          <w:color w:val="auto"/>
        </w:rPr>
        <w:t>ex post</w:t>
      </w:r>
      <w:r w:rsidR="00176111" w:rsidRPr="00C901F8">
        <w:rPr>
          <w:color w:val="auto"/>
        </w:rPr>
        <w:t xml:space="preserve"> assessments and the contextual requirements for the effectiveness</w:t>
      </w:r>
      <w:r w:rsidRPr="00C901F8">
        <w:rPr>
          <w:color w:val="auto"/>
        </w:rPr>
        <w:t>.</w:t>
      </w:r>
    </w:p>
    <w:p w14:paraId="3115F12C" w14:textId="0473A1C6" w:rsidR="00040722" w:rsidRPr="00C901F8" w:rsidRDefault="003A3C99" w:rsidP="00566049">
      <w:pPr>
        <w:rPr>
          <w:color w:val="auto"/>
        </w:rPr>
      </w:pPr>
      <w:r w:rsidRPr="00C901F8">
        <w:rPr>
          <w:color w:val="auto"/>
        </w:rPr>
        <w:t xml:space="preserve">Note that </w:t>
      </w:r>
      <w:r w:rsidR="00040722" w:rsidRPr="00C901F8">
        <w:rPr>
          <w:color w:val="auto"/>
        </w:rPr>
        <w:t>‘</w:t>
      </w:r>
      <w:r w:rsidRPr="00C901F8">
        <w:rPr>
          <w:color w:val="auto"/>
        </w:rPr>
        <w:t>policy effectiveness</w:t>
      </w:r>
      <w:r w:rsidR="00040722" w:rsidRPr="00C901F8">
        <w:rPr>
          <w:color w:val="auto"/>
        </w:rPr>
        <w:t>’</w:t>
      </w:r>
      <w:r w:rsidR="008916DB" w:rsidRPr="00C901F8">
        <w:rPr>
          <w:color w:val="auto"/>
        </w:rPr>
        <w:t xml:space="preserve"> is not merely a matter of achieving the policy goals at any cost.</w:t>
      </w:r>
      <w:r w:rsidR="00040722" w:rsidRPr="005E6BFA">
        <w:rPr>
          <w:color w:val="auto"/>
        </w:rPr>
        <w:t xml:space="preserve"> </w:t>
      </w:r>
      <w:r w:rsidR="008916DB" w:rsidRPr="00C901F8">
        <w:rPr>
          <w:color w:val="auto"/>
        </w:rPr>
        <w:t>For example, an island nation may decide on a policy of carbon neutrality and attempt to achieve it by banning import of gasoline and fuel oil.</w:t>
      </w:r>
      <w:r w:rsidR="00040722" w:rsidRPr="005E6BFA">
        <w:rPr>
          <w:color w:val="auto"/>
        </w:rPr>
        <w:t xml:space="preserve"> </w:t>
      </w:r>
      <w:r w:rsidR="008916DB" w:rsidRPr="00C901F8">
        <w:rPr>
          <w:color w:val="auto"/>
        </w:rPr>
        <w:t>If the local fisher</w:t>
      </w:r>
      <w:r w:rsidR="009619E2">
        <w:rPr>
          <w:color w:val="auto"/>
        </w:rPr>
        <w:t>s</w:t>
      </w:r>
      <w:r w:rsidR="008916DB" w:rsidRPr="00C901F8">
        <w:rPr>
          <w:color w:val="auto"/>
        </w:rPr>
        <w:t xml:space="preserve"> are unable, however, to </w:t>
      </w:r>
      <w:r w:rsidR="00AC55F8">
        <w:rPr>
          <w:color w:val="auto"/>
        </w:rPr>
        <w:t xml:space="preserve">power </w:t>
      </w:r>
      <w:r w:rsidR="008916DB" w:rsidRPr="00C901F8">
        <w:rPr>
          <w:color w:val="auto"/>
        </w:rPr>
        <w:t>their boats then there could be widespread malnutrition as fish disappears from the diet. Crime might also increase</w:t>
      </w:r>
      <w:r w:rsidR="00AC55F8">
        <w:rPr>
          <w:color w:val="auto"/>
        </w:rPr>
        <w:t xml:space="preserve"> in order to meet </w:t>
      </w:r>
      <w:r w:rsidR="008916DB" w:rsidRPr="00C901F8">
        <w:rPr>
          <w:color w:val="auto"/>
        </w:rPr>
        <w:t>the unsatisfied demand for fuel.</w:t>
      </w:r>
    </w:p>
    <w:p w14:paraId="31D1F276" w14:textId="6311D91B" w:rsidR="00040722" w:rsidRPr="00C901F8" w:rsidRDefault="003A3C99" w:rsidP="00566049">
      <w:pPr>
        <w:rPr>
          <w:color w:val="auto"/>
        </w:rPr>
      </w:pPr>
      <w:r w:rsidRPr="00C901F8">
        <w:rPr>
          <w:color w:val="auto"/>
        </w:rPr>
        <w:t xml:space="preserve">The criteria for assessing the cases are derived from </w:t>
      </w:r>
      <w:r w:rsidR="009619E2">
        <w:rPr>
          <w:color w:val="auto"/>
        </w:rPr>
        <w:t xml:space="preserve">the </w:t>
      </w:r>
      <w:r w:rsidRPr="00C901F8">
        <w:rPr>
          <w:color w:val="auto"/>
        </w:rPr>
        <w:t>literature on policy design and effectiveness. They are not prescriptive in terms of methods</w:t>
      </w:r>
      <w:r w:rsidR="009619E2">
        <w:rPr>
          <w:color w:val="auto"/>
        </w:rPr>
        <w:t xml:space="preserve">, </w:t>
      </w:r>
      <w:r w:rsidRPr="00C901F8">
        <w:rPr>
          <w:color w:val="auto"/>
        </w:rPr>
        <w:t>data</w:t>
      </w:r>
      <w:r w:rsidR="009619E2">
        <w:rPr>
          <w:color w:val="auto"/>
        </w:rPr>
        <w:t xml:space="preserve">, </w:t>
      </w:r>
      <w:r w:rsidRPr="00C901F8">
        <w:rPr>
          <w:color w:val="auto"/>
        </w:rPr>
        <w:t>policy instruments</w:t>
      </w:r>
      <w:r w:rsidR="009619E2">
        <w:rPr>
          <w:color w:val="auto"/>
        </w:rPr>
        <w:t xml:space="preserve"> or </w:t>
      </w:r>
      <w:r w:rsidRPr="00C901F8">
        <w:rPr>
          <w:color w:val="auto"/>
        </w:rPr>
        <w:t>causal chains, but on each aspect the relevant knowledge from the literature is presented.</w:t>
      </w:r>
      <w:r w:rsidR="00176111" w:rsidRPr="00C901F8">
        <w:rPr>
          <w:color w:val="auto"/>
        </w:rPr>
        <w:t xml:space="preserve"> </w:t>
      </w:r>
      <w:r w:rsidR="00024BBE" w:rsidRPr="00C901F8">
        <w:rPr>
          <w:color w:val="auto"/>
        </w:rPr>
        <w:t xml:space="preserve">As </w:t>
      </w:r>
      <w:r w:rsidR="007B50E3" w:rsidRPr="00C901F8">
        <w:rPr>
          <w:color w:val="auto"/>
        </w:rPr>
        <w:t xml:space="preserve">all </w:t>
      </w:r>
      <w:r w:rsidR="00024BBE" w:rsidRPr="00C901F8">
        <w:rPr>
          <w:color w:val="auto"/>
        </w:rPr>
        <w:t xml:space="preserve">case studies are based on secondary </w:t>
      </w:r>
      <w:r w:rsidR="00176111" w:rsidRPr="00C901F8">
        <w:rPr>
          <w:color w:val="auto"/>
        </w:rPr>
        <w:t xml:space="preserve">data </w:t>
      </w:r>
      <w:r w:rsidR="00024BBE" w:rsidRPr="00C901F8">
        <w:rPr>
          <w:color w:val="auto"/>
        </w:rPr>
        <w:t>analysis, the research protocol necessarily leave</w:t>
      </w:r>
      <w:r w:rsidR="007D28B2" w:rsidRPr="00C901F8">
        <w:rPr>
          <w:color w:val="auto"/>
        </w:rPr>
        <w:t>s</w:t>
      </w:r>
      <w:r w:rsidR="00024BBE" w:rsidRPr="00C901F8">
        <w:rPr>
          <w:color w:val="auto"/>
        </w:rPr>
        <w:t xml:space="preserve"> discretion to be adapted. For example, evaluation studies may be based on measuring effectiveness against the stated goal of </w:t>
      </w:r>
      <w:r w:rsidR="00040722" w:rsidRPr="005E6BFA">
        <w:rPr>
          <w:color w:val="auto"/>
        </w:rPr>
        <w:t>policymak</w:t>
      </w:r>
      <w:r w:rsidR="00024BBE" w:rsidRPr="00C901F8">
        <w:rPr>
          <w:color w:val="auto"/>
        </w:rPr>
        <w:t xml:space="preserve">ers, against an indicator, against a control group or </w:t>
      </w:r>
      <w:r w:rsidR="009619E2">
        <w:rPr>
          <w:color w:val="auto"/>
        </w:rPr>
        <w:t xml:space="preserve">against </w:t>
      </w:r>
      <w:r w:rsidR="00024BBE" w:rsidRPr="00C901F8">
        <w:rPr>
          <w:color w:val="auto"/>
        </w:rPr>
        <w:t>a counterfactual scenario. The research protocol does not prescribe one or the other method for assessment, but provides transparency on the underlying methods, theories and data sources of the individual case study.</w:t>
      </w:r>
    </w:p>
    <w:p w14:paraId="5E4F6BA9" w14:textId="77777777" w:rsidR="00040722" w:rsidRPr="00C901F8" w:rsidRDefault="00024BBE" w:rsidP="00566049">
      <w:pPr>
        <w:rPr>
          <w:color w:val="auto"/>
        </w:rPr>
      </w:pPr>
      <w:r w:rsidRPr="00C901F8">
        <w:rPr>
          <w:color w:val="auto"/>
        </w:rPr>
        <w:t xml:space="preserve">The </w:t>
      </w:r>
      <w:r w:rsidR="009A687A" w:rsidRPr="00C901F8">
        <w:rPr>
          <w:color w:val="auto"/>
        </w:rPr>
        <w:t xml:space="preserve">evaluation </w:t>
      </w:r>
      <w:r w:rsidRPr="00C901F8">
        <w:rPr>
          <w:color w:val="auto"/>
        </w:rPr>
        <w:t xml:space="preserve">criteria </w:t>
      </w:r>
      <w:r w:rsidR="009A687A" w:rsidRPr="00C901F8">
        <w:rPr>
          <w:color w:val="auto"/>
        </w:rPr>
        <w:t xml:space="preserve">and associated guiding questions </w:t>
      </w:r>
      <w:r w:rsidR="007D28B2" w:rsidRPr="00C901F8">
        <w:rPr>
          <w:color w:val="auto"/>
        </w:rPr>
        <w:t xml:space="preserve">for the case studies </w:t>
      </w:r>
      <w:r w:rsidR="009A687A" w:rsidRPr="00C901F8">
        <w:rPr>
          <w:color w:val="auto"/>
        </w:rPr>
        <w:t>are the following</w:t>
      </w:r>
      <w:r w:rsidR="009619E2">
        <w:rPr>
          <w:color w:val="auto"/>
        </w:rPr>
        <w:t>.</w:t>
      </w:r>
    </w:p>
    <w:p w14:paraId="27E22796" w14:textId="77777777" w:rsidR="00040722" w:rsidRPr="005E6BFA" w:rsidRDefault="009A687A" w:rsidP="005E6BFA">
      <w:pPr>
        <w:pStyle w:val="ListParagraph"/>
        <w:numPr>
          <w:ilvl w:val="0"/>
          <w:numId w:val="34"/>
        </w:numPr>
        <w:rPr>
          <w:rFonts w:ascii="Calibri" w:hAnsi="Calibri"/>
        </w:rPr>
      </w:pPr>
      <w:r w:rsidRPr="005A19C9">
        <w:t>Effectiveness/</w:t>
      </w:r>
      <w:r w:rsidR="005A19C9" w:rsidRPr="005A19C9">
        <w:t>goal achievement</w:t>
      </w:r>
      <w:r w:rsidR="005A19C9" w:rsidRPr="005E6BFA">
        <w:t xml:space="preserve"> </w:t>
      </w:r>
      <w:r w:rsidR="00040722" w:rsidRPr="005E6BFA">
        <w:t xml:space="preserve">– </w:t>
      </w:r>
      <w:r w:rsidRPr="005A19C9">
        <w:t xml:space="preserve">What effects did the policy have on the targeted </w:t>
      </w:r>
      <w:r w:rsidRPr="005A19C9">
        <w:lastRenderedPageBreak/>
        <w:t>problem?</w:t>
      </w:r>
    </w:p>
    <w:p w14:paraId="2A155C44" w14:textId="77777777" w:rsidR="00040722" w:rsidRPr="005E6BFA" w:rsidRDefault="009A687A" w:rsidP="005E6BFA">
      <w:pPr>
        <w:pStyle w:val="ListParagraph"/>
        <w:numPr>
          <w:ilvl w:val="0"/>
          <w:numId w:val="34"/>
        </w:numPr>
        <w:rPr>
          <w:rFonts w:ascii="Calibri" w:hAnsi="Calibri"/>
        </w:rPr>
      </w:pPr>
      <w:r w:rsidRPr="005A19C9">
        <w:t>Unintended effects</w:t>
      </w:r>
      <w:r w:rsidR="00040722" w:rsidRPr="005E6BFA">
        <w:t xml:space="preserve"> – </w:t>
      </w:r>
      <w:r w:rsidRPr="005A19C9">
        <w:t>What were the unintended effects of this policy?</w:t>
      </w:r>
    </w:p>
    <w:p w14:paraId="10816E14" w14:textId="77777777" w:rsidR="00040722" w:rsidRPr="005E6BFA" w:rsidRDefault="009A687A" w:rsidP="005E6BFA">
      <w:pPr>
        <w:pStyle w:val="ListParagraph"/>
        <w:numPr>
          <w:ilvl w:val="0"/>
          <w:numId w:val="34"/>
        </w:numPr>
        <w:rPr>
          <w:rFonts w:ascii="Calibri" w:hAnsi="Calibri"/>
        </w:rPr>
      </w:pPr>
      <w:r w:rsidRPr="005A19C9">
        <w:t>Baseline</w:t>
      </w:r>
      <w:r w:rsidR="00040722" w:rsidRPr="005E6BFA">
        <w:t xml:space="preserve"> – </w:t>
      </w:r>
      <w:r w:rsidRPr="005A19C9">
        <w:t>Was the baseline defined at the policy design stage?</w:t>
      </w:r>
    </w:p>
    <w:p w14:paraId="5068B2C8" w14:textId="77777777" w:rsidR="00040722" w:rsidRPr="005E6BFA" w:rsidRDefault="009A687A" w:rsidP="005E6BFA">
      <w:pPr>
        <w:pStyle w:val="ListParagraph"/>
        <w:numPr>
          <w:ilvl w:val="0"/>
          <w:numId w:val="34"/>
        </w:numPr>
        <w:rPr>
          <w:rFonts w:ascii="Calibri" w:hAnsi="Calibri"/>
        </w:rPr>
      </w:pPr>
      <w:r w:rsidRPr="005A19C9">
        <w:t>Coherence/</w:t>
      </w:r>
      <w:r w:rsidR="005A19C9" w:rsidRPr="005A19C9">
        <w:t>convergence/synergy</w:t>
      </w:r>
      <w:r w:rsidR="005A19C9" w:rsidRPr="005E6BFA">
        <w:t xml:space="preserve"> </w:t>
      </w:r>
      <w:r w:rsidR="00040722" w:rsidRPr="005E6BFA">
        <w:t xml:space="preserve">– </w:t>
      </w:r>
      <w:r w:rsidRPr="005A19C9">
        <w:t>How does the policy intersect with other related policies?</w:t>
      </w:r>
    </w:p>
    <w:p w14:paraId="5B9F815D" w14:textId="77777777" w:rsidR="00040722" w:rsidRPr="005E6BFA" w:rsidRDefault="009A687A" w:rsidP="005E6BFA">
      <w:pPr>
        <w:pStyle w:val="ListParagraph"/>
        <w:numPr>
          <w:ilvl w:val="0"/>
          <w:numId w:val="34"/>
        </w:numPr>
        <w:rPr>
          <w:rFonts w:ascii="Calibri" w:hAnsi="Calibri"/>
        </w:rPr>
      </w:pPr>
      <w:r w:rsidRPr="005A19C9">
        <w:t>Co-benefits</w:t>
      </w:r>
      <w:r w:rsidR="00040722" w:rsidRPr="005E6BFA">
        <w:t xml:space="preserve"> – </w:t>
      </w:r>
      <w:r w:rsidRPr="005A19C9">
        <w:t>Did the policy design provide for co-benefits?</w:t>
      </w:r>
    </w:p>
    <w:p w14:paraId="1132BD68" w14:textId="77777777" w:rsidR="00040722" w:rsidRPr="005E6BFA" w:rsidRDefault="009A687A" w:rsidP="005E6BFA">
      <w:pPr>
        <w:pStyle w:val="ListParagraph"/>
        <w:numPr>
          <w:ilvl w:val="0"/>
          <w:numId w:val="34"/>
        </w:numPr>
        <w:rPr>
          <w:rFonts w:ascii="Calibri" w:hAnsi="Calibri"/>
        </w:rPr>
      </w:pPr>
      <w:r w:rsidRPr="005A19C9">
        <w:t>Equity/</w:t>
      </w:r>
      <w:r w:rsidR="005A19C9" w:rsidRPr="005A19C9">
        <w:t>winners and losers</w:t>
      </w:r>
      <w:r w:rsidR="005A19C9" w:rsidRPr="005E6BFA">
        <w:t xml:space="preserve"> </w:t>
      </w:r>
      <w:r w:rsidR="00040722" w:rsidRPr="005E6BFA">
        <w:t xml:space="preserve">– </w:t>
      </w:r>
      <w:r w:rsidRPr="005A19C9">
        <w:t>What are the effects of this policy on different population groups?</w:t>
      </w:r>
    </w:p>
    <w:p w14:paraId="6298F27B" w14:textId="77777777" w:rsidR="00040722" w:rsidRPr="005E6BFA" w:rsidRDefault="009A687A" w:rsidP="005E6BFA">
      <w:pPr>
        <w:pStyle w:val="ListParagraph"/>
        <w:numPr>
          <w:ilvl w:val="0"/>
          <w:numId w:val="34"/>
        </w:numPr>
        <w:rPr>
          <w:rFonts w:ascii="Calibri" w:hAnsi="Calibri"/>
        </w:rPr>
      </w:pPr>
      <w:r w:rsidRPr="005A19C9">
        <w:t>Enabling/</w:t>
      </w:r>
      <w:r w:rsidR="005A19C9" w:rsidRPr="005A19C9">
        <w:t>constraining factors</w:t>
      </w:r>
      <w:r w:rsidR="005A19C9" w:rsidRPr="005E6BFA">
        <w:t xml:space="preserve"> </w:t>
      </w:r>
      <w:r w:rsidR="00040722" w:rsidRPr="005E6BFA">
        <w:t xml:space="preserve">– </w:t>
      </w:r>
      <w:r w:rsidRPr="005A19C9">
        <w:t>What external factors are likely to influence the intended policy effects?</w:t>
      </w:r>
    </w:p>
    <w:p w14:paraId="209B3F43" w14:textId="77777777" w:rsidR="00040722" w:rsidRPr="005E6BFA" w:rsidRDefault="009A687A" w:rsidP="005E6BFA">
      <w:pPr>
        <w:pStyle w:val="ListParagraph"/>
        <w:numPr>
          <w:ilvl w:val="0"/>
          <w:numId w:val="34"/>
        </w:numPr>
        <w:rPr>
          <w:rFonts w:ascii="Calibri" w:hAnsi="Calibri"/>
        </w:rPr>
      </w:pPr>
      <w:r w:rsidRPr="005A19C9">
        <w:t>Cost/</w:t>
      </w:r>
      <w:r w:rsidR="005A19C9" w:rsidRPr="005A19C9">
        <w:t>cost</w:t>
      </w:r>
      <w:r w:rsidRPr="005A19C9">
        <w:t>-effectiveness</w:t>
      </w:r>
      <w:r w:rsidR="00040722" w:rsidRPr="005E6BFA">
        <w:t xml:space="preserve"> – </w:t>
      </w:r>
      <w:r w:rsidRPr="005A19C9">
        <w:t>What w</w:t>
      </w:r>
      <w:r w:rsidR="00DA5092" w:rsidRPr="005A19C9">
        <w:t>ere</w:t>
      </w:r>
      <w:r w:rsidRPr="005A19C9">
        <w:t xml:space="preserve"> the financial</w:t>
      </w:r>
      <w:r w:rsidR="00DC3030" w:rsidRPr="005A19C9">
        <w:t>/economic</w:t>
      </w:r>
      <w:r w:rsidRPr="005A19C9">
        <w:t xml:space="preserve"> costs and benefits of this policy? Is it the most cost-effective or the least-cost approach?</w:t>
      </w:r>
    </w:p>
    <w:p w14:paraId="7ED6BA5D" w14:textId="77777777" w:rsidR="00040722" w:rsidRPr="005E6BFA" w:rsidRDefault="009A687A" w:rsidP="005E6BFA">
      <w:pPr>
        <w:pStyle w:val="ListParagraph"/>
        <w:numPr>
          <w:ilvl w:val="0"/>
          <w:numId w:val="34"/>
        </w:numPr>
        <w:rPr>
          <w:rFonts w:ascii="Calibri" w:hAnsi="Calibri"/>
        </w:rPr>
      </w:pPr>
      <w:r w:rsidRPr="005A19C9">
        <w:t>Time</w:t>
      </w:r>
      <w:r w:rsidR="005A19C9">
        <w:t xml:space="preserve"> </w:t>
      </w:r>
      <w:r w:rsidRPr="005A19C9">
        <w:t>frame</w:t>
      </w:r>
      <w:r w:rsidR="00040722" w:rsidRPr="005E6BFA">
        <w:t xml:space="preserve"> – </w:t>
      </w:r>
      <w:r w:rsidRPr="005A19C9">
        <w:t>Was the policy implemented within the expected time</w:t>
      </w:r>
      <w:r w:rsidR="005A19C9">
        <w:t xml:space="preserve"> </w:t>
      </w:r>
      <w:r w:rsidRPr="005A19C9">
        <w:t>frame?</w:t>
      </w:r>
    </w:p>
    <w:p w14:paraId="0EB87780" w14:textId="77777777" w:rsidR="00040722" w:rsidRPr="005E6BFA" w:rsidRDefault="009A687A" w:rsidP="005E6BFA">
      <w:pPr>
        <w:pStyle w:val="ListParagraph"/>
        <w:numPr>
          <w:ilvl w:val="0"/>
          <w:numId w:val="34"/>
        </w:numPr>
        <w:rPr>
          <w:rFonts w:ascii="Calibri" w:hAnsi="Calibri"/>
        </w:rPr>
      </w:pPr>
      <w:r w:rsidRPr="005A19C9">
        <w:t>Feasibility/</w:t>
      </w:r>
      <w:proofErr w:type="spellStart"/>
      <w:r w:rsidR="005A19C9" w:rsidRPr="005A19C9">
        <w:t>implementability</w:t>
      </w:r>
      <w:proofErr w:type="spellEnd"/>
      <w:r w:rsidR="005A19C9" w:rsidRPr="005E6BFA">
        <w:t xml:space="preserve"> </w:t>
      </w:r>
      <w:r w:rsidR="00040722" w:rsidRPr="005E6BFA">
        <w:t xml:space="preserve">– </w:t>
      </w:r>
      <w:r w:rsidRPr="005A19C9">
        <w:t>Is the policy technically feasible in the institutional context?</w:t>
      </w:r>
    </w:p>
    <w:p w14:paraId="55CD2AC3" w14:textId="77777777" w:rsidR="00040722" w:rsidRPr="005E6BFA" w:rsidRDefault="009A687A" w:rsidP="005E6BFA">
      <w:pPr>
        <w:pStyle w:val="ListParagraph"/>
        <w:numPr>
          <w:ilvl w:val="0"/>
          <w:numId w:val="34"/>
        </w:numPr>
        <w:rPr>
          <w:rFonts w:ascii="Calibri" w:hAnsi="Calibri"/>
        </w:rPr>
      </w:pPr>
      <w:r w:rsidRPr="005A19C9">
        <w:t>Acceptability</w:t>
      </w:r>
      <w:r w:rsidR="00040722" w:rsidRPr="005E6BFA">
        <w:t xml:space="preserve"> – </w:t>
      </w:r>
      <w:r w:rsidRPr="005A19C9">
        <w:t>Do the relevant policy stakeholders view the policy as generally acceptable?</w:t>
      </w:r>
    </w:p>
    <w:p w14:paraId="3AEE5CB2" w14:textId="77777777" w:rsidR="00040722" w:rsidRPr="005E6BFA" w:rsidRDefault="009A687A" w:rsidP="005E6BFA">
      <w:pPr>
        <w:pStyle w:val="ListParagraph"/>
        <w:numPr>
          <w:ilvl w:val="0"/>
          <w:numId w:val="34"/>
        </w:numPr>
        <w:rPr>
          <w:rFonts w:ascii="Calibri" w:hAnsi="Calibri"/>
        </w:rPr>
      </w:pPr>
      <w:r w:rsidRPr="005A19C9">
        <w:t xml:space="preserve">Stakeholder </w:t>
      </w:r>
      <w:r w:rsidR="005A19C9" w:rsidRPr="005A19C9">
        <w:t>involvement</w:t>
      </w:r>
      <w:r w:rsidR="005A19C9" w:rsidRPr="005E6BFA">
        <w:t xml:space="preserve"> </w:t>
      </w:r>
      <w:r w:rsidR="00040722" w:rsidRPr="005E6BFA">
        <w:t xml:space="preserve">– </w:t>
      </w:r>
      <w:r w:rsidRPr="005A19C9">
        <w:t>To what extent were affected stakeholders actively involved in implementation?</w:t>
      </w:r>
    </w:p>
    <w:p w14:paraId="6566FB0B" w14:textId="77777777" w:rsidR="00040722" w:rsidRPr="005E6BFA" w:rsidRDefault="009A687A" w:rsidP="005E6BFA">
      <w:pPr>
        <w:pStyle w:val="ListParagraph"/>
        <w:numPr>
          <w:ilvl w:val="0"/>
          <w:numId w:val="34"/>
        </w:numPr>
        <w:rPr>
          <w:rFonts w:ascii="Calibri" w:hAnsi="Calibri"/>
        </w:rPr>
      </w:pPr>
      <w:r w:rsidRPr="005A19C9">
        <w:t xml:space="preserve">Any other factors – such as transformative potential, intergenerational effects, transboundary impacts, </w:t>
      </w:r>
      <w:r w:rsidR="00040722" w:rsidRPr="005E6BFA">
        <w:t>sociocultural</w:t>
      </w:r>
      <w:r w:rsidRPr="005A19C9">
        <w:t xml:space="preserve"> concerns, political interference, enforcement issues, </w:t>
      </w:r>
      <w:r w:rsidR="000228DA" w:rsidRPr="005A19C9">
        <w:t>compliance with legal standards (e.g. national/international human rights)</w:t>
      </w:r>
      <w:r w:rsidRPr="005A19C9">
        <w:t>.</w:t>
      </w:r>
    </w:p>
    <w:p w14:paraId="3AB9C1CB" w14:textId="3EC2D925" w:rsidR="00040722" w:rsidRPr="00C901F8" w:rsidRDefault="007B50E3" w:rsidP="00566049">
      <w:pPr>
        <w:rPr>
          <w:color w:val="auto"/>
        </w:rPr>
      </w:pPr>
      <w:r w:rsidRPr="00C901F8">
        <w:rPr>
          <w:color w:val="auto"/>
        </w:rPr>
        <w:t xml:space="preserve">As a caveat, there is abundant evidence from </w:t>
      </w:r>
      <w:r w:rsidR="005A19C9">
        <w:rPr>
          <w:color w:val="auto"/>
        </w:rPr>
        <w:t xml:space="preserve">the </w:t>
      </w:r>
      <w:r w:rsidRPr="00C901F8">
        <w:rPr>
          <w:color w:val="auto"/>
        </w:rPr>
        <w:t xml:space="preserve">environmental policy and governance literature that policy effectiveness is highly context </w:t>
      </w:r>
      <w:r w:rsidR="00040722" w:rsidRPr="005E6BFA">
        <w:rPr>
          <w:color w:val="auto"/>
        </w:rPr>
        <w:t>dependent</w:t>
      </w:r>
      <w:r w:rsidRPr="00C901F8">
        <w:rPr>
          <w:color w:val="auto"/>
        </w:rPr>
        <w:t xml:space="preserve"> </w:t>
      </w:r>
      <w:r w:rsidRPr="005E6BFA">
        <w:rPr>
          <w:color w:val="auto"/>
        </w:rPr>
        <w:t xml:space="preserve">(Jordan and </w:t>
      </w:r>
      <w:proofErr w:type="spellStart"/>
      <w:r w:rsidRPr="005E6BFA">
        <w:rPr>
          <w:color w:val="auto"/>
        </w:rPr>
        <w:t>Huitema</w:t>
      </w:r>
      <w:proofErr w:type="spellEnd"/>
      <w:r w:rsidRPr="005E6BFA">
        <w:rPr>
          <w:color w:val="auto"/>
        </w:rPr>
        <w:t xml:space="preserve"> </w:t>
      </w:r>
      <w:r w:rsidR="00040722" w:rsidRPr="005E6BFA">
        <w:rPr>
          <w:color w:val="auto"/>
        </w:rPr>
        <w:t>2014</w:t>
      </w:r>
      <w:r w:rsidRPr="005E6BFA">
        <w:rPr>
          <w:color w:val="auto"/>
        </w:rPr>
        <w:t>)</w:t>
      </w:r>
      <w:r w:rsidRPr="00C901F8">
        <w:rPr>
          <w:color w:val="auto"/>
        </w:rPr>
        <w:t>.</w:t>
      </w:r>
      <w:r w:rsidR="00040722" w:rsidRPr="005E6BFA">
        <w:rPr>
          <w:color w:val="auto"/>
        </w:rPr>
        <w:t xml:space="preserve"> </w:t>
      </w:r>
      <w:r w:rsidRPr="00C901F8">
        <w:rPr>
          <w:color w:val="auto"/>
        </w:rPr>
        <w:t xml:space="preserve">Therefore, effective policies from one region or country cannot simply </w:t>
      </w:r>
      <w:r w:rsidR="00303B2B">
        <w:rPr>
          <w:color w:val="auto"/>
        </w:rPr>
        <w:t xml:space="preserve">be </w:t>
      </w:r>
      <w:r w:rsidRPr="00C901F8">
        <w:rPr>
          <w:color w:val="auto"/>
        </w:rPr>
        <w:t>transferred to another context. Social, cultural, historical and political differences do matter.</w:t>
      </w:r>
    </w:p>
    <w:p w14:paraId="034C58B3" w14:textId="77777777" w:rsidR="00040722" w:rsidRPr="00C901F8" w:rsidRDefault="00DE194B" w:rsidP="00566049">
      <w:pPr>
        <w:rPr>
          <w:color w:val="auto"/>
        </w:rPr>
      </w:pPr>
      <w:r w:rsidRPr="00C901F8">
        <w:rPr>
          <w:color w:val="auto"/>
        </w:rPr>
        <w:t>This top-down evaluation is complemented by a bottom-up evaluation described in the next section.</w:t>
      </w:r>
    </w:p>
    <w:p w14:paraId="22F3773D" w14:textId="77777777" w:rsidR="00040722" w:rsidRPr="00C901F8" w:rsidRDefault="00024BBE" w:rsidP="00AE59CD">
      <w:pPr>
        <w:pStyle w:val="Heading2"/>
      </w:pPr>
      <w:bookmarkStart w:id="11" w:name="_1t3h5sf" w:colFirst="0" w:colLast="0"/>
      <w:bookmarkStart w:id="12" w:name="_Toc511749738"/>
      <w:bookmarkEnd w:id="11"/>
      <w:r w:rsidRPr="00C901F8">
        <w:t>Bottom-</w:t>
      </w:r>
      <w:r w:rsidR="007B50E3" w:rsidRPr="00C901F8">
        <w:t>u</w:t>
      </w:r>
      <w:r w:rsidRPr="00C901F8">
        <w:t xml:space="preserve">p </w:t>
      </w:r>
      <w:r w:rsidR="007B50E3" w:rsidRPr="00C901F8">
        <w:t>e</w:t>
      </w:r>
      <w:r w:rsidRPr="00C901F8">
        <w:t>valuation</w:t>
      </w:r>
      <w:bookmarkEnd w:id="12"/>
      <w:r w:rsidRPr="00C901F8">
        <w:t xml:space="preserve"> </w:t>
      </w:r>
      <w:r w:rsidR="007B50E3" w:rsidRPr="00C901F8">
        <w:t>methodol</w:t>
      </w:r>
      <w:r w:rsidR="00040722" w:rsidRPr="00B4619D">
        <w:t>ogy</w:t>
      </w:r>
    </w:p>
    <w:p w14:paraId="71321914" w14:textId="54112F57" w:rsidR="00040722" w:rsidRPr="00C901F8" w:rsidRDefault="00024BBE" w:rsidP="00566049">
      <w:pPr>
        <w:rPr>
          <w:color w:val="auto"/>
        </w:rPr>
      </w:pPr>
      <w:r w:rsidRPr="00C901F8">
        <w:rPr>
          <w:color w:val="auto"/>
        </w:rPr>
        <w:t>An indicator</w:t>
      </w:r>
      <w:r w:rsidR="00DE194B" w:rsidRPr="00C901F8">
        <w:rPr>
          <w:color w:val="auto"/>
        </w:rPr>
        <w:t>-</w:t>
      </w:r>
      <w:r w:rsidRPr="00C901F8">
        <w:rPr>
          <w:color w:val="auto"/>
        </w:rPr>
        <w:t>based assessment of policy</w:t>
      </w:r>
      <w:r w:rsidR="005A19C9">
        <w:rPr>
          <w:color w:val="auto"/>
        </w:rPr>
        <w:t>-</w:t>
      </w:r>
      <w:r w:rsidRPr="00C901F8">
        <w:rPr>
          <w:color w:val="auto"/>
        </w:rPr>
        <w:t>sensitive/policy</w:t>
      </w:r>
      <w:r w:rsidR="005A19C9">
        <w:rPr>
          <w:color w:val="auto"/>
        </w:rPr>
        <w:t>-</w:t>
      </w:r>
      <w:r w:rsidR="00303B2B">
        <w:rPr>
          <w:color w:val="auto"/>
        </w:rPr>
        <w:t xml:space="preserve">relevant </w:t>
      </w:r>
      <w:r w:rsidRPr="00C901F8">
        <w:rPr>
          <w:color w:val="auto"/>
        </w:rPr>
        <w:t xml:space="preserve">indicators for each thematic area </w:t>
      </w:r>
      <w:r w:rsidR="00CA2EB0" w:rsidRPr="00C901F8">
        <w:rPr>
          <w:color w:val="auto"/>
        </w:rPr>
        <w:t xml:space="preserve">and cross-cutting issue </w:t>
      </w:r>
      <w:r w:rsidRPr="00C901F8">
        <w:rPr>
          <w:color w:val="auto"/>
        </w:rPr>
        <w:t xml:space="preserve">complements the </w:t>
      </w:r>
      <w:r w:rsidR="00DE194B" w:rsidRPr="00C901F8">
        <w:rPr>
          <w:color w:val="auto"/>
        </w:rPr>
        <w:t>top-down evaluation</w:t>
      </w:r>
      <w:r w:rsidRPr="00C901F8">
        <w:rPr>
          <w:color w:val="auto"/>
        </w:rPr>
        <w:t xml:space="preserve"> and provides evidence on the quantification of policy effectiveness (</w:t>
      </w:r>
      <w:proofErr w:type="spellStart"/>
      <w:r w:rsidRPr="005E6BFA">
        <w:rPr>
          <w:color w:val="auto"/>
        </w:rPr>
        <w:t>Hezri</w:t>
      </w:r>
      <w:proofErr w:type="spellEnd"/>
      <w:r w:rsidRPr="005E6BFA">
        <w:rPr>
          <w:color w:val="auto"/>
        </w:rPr>
        <w:t xml:space="preserve"> and </w:t>
      </w:r>
      <w:proofErr w:type="spellStart"/>
      <w:r w:rsidRPr="005E6BFA">
        <w:rPr>
          <w:color w:val="auto"/>
        </w:rPr>
        <w:t>Dovers</w:t>
      </w:r>
      <w:proofErr w:type="spellEnd"/>
      <w:r w:rsidRPr="005E6BFA">
        <w:rPr>
          <w:color w:val="auto"/>
        </w:rPr>
        <w:t xml:space="preserve"> </w:t>
      </w:r>
      <w:r w:rsidR="00040722" w:rsidRPr="005E6BFA">
        <w:rPr>
          <w:color w:val="auto"/>
        </w:rPr>
        <w:t>2006</w:t>
      </w:r>
      <w:r w:rsidR="006E7F57" w:rsidRPr="00C901F8">
        <w:rPr>
          <w:color w:val="auto"/>
        </w:rPr>
        <w:t>;</w:t>
      </w:r>
      <w:r w:rsidRPr="00C901F8">
        <w:rPr>
          <w:color w:val="auto"/>
        </w:rPr>
        <w:t xml:space="preserve"> </w:t>
      </w:r>
      <w:proofErr w:type="spellStart"/>
      <w:r w:rsidRPr="005E6BFA">
        <w:rPr>
          <w:color w:val="auto"/>
        </w:rPr>
        <w:t>Bauler</w:t>
      </w:r>
      <w:proofErr w:type="spellEnd"/>
      <w:r w:rsidRPr="005E6BFA">
        <w:rPr>
          <w:color w:val="auto"/>
        </w:rPr>
        <w:t xml:space="preserve"> </w:t>
      </w:r>
      <w:r w:rsidR="00040722" w:rsidRPr="005E6BFA">
        <w:rPr>
          <w:color w:val="auto"/>
        </w:rPr>
        <w:t>2012</w:t>
      </w:r>
      <w:r w:rsidR="006E7F57" w:rsidRPr="00C901F8">
        <w:rPr>
          <w:color w:val="auto"/>
        </w:rPr>
        <w:t>;</w:t>
      </w:r>
      <w:r w:rsidRPr="00C901F8">
        <w:rPr>
          <w:color w:val="auto"/>
        </w:rPr>
        <w:t xml:space="preserve"> </w:t>
      </w:r>
      <w:proofErr w:type="spellStart"/>
      <w:r w:rsidR="00151DA5" w:rsidRPr="005E6BFA">
        <w:rPr>
          <w:color w:val="auto"/>
        </w:rPr>
        <w:t>Mo</w:t>
      </w:r>
      <w:r w:rsidR="00040722" w:rsidRPr="005E6BFA">
        <w:rPr>
          <w:color w:val="auto"/>
        </w:rPr>
        <w:t>ld</w:t>
      </w:r>
      <w:r w:rsidR="00A910FE" w:rsidRPr="005E6BFA">
        <w:rPr>
          <w:color w:val="auto"/>
        </w:rPr>
        <w:t>an</w:t>
      </w:r>
      <w:proofErr w:type="spellEnd"/>
      <w:r w:rsidR="00A910FE" w:rsidRPr="005E6BFA">
        <w:rPr>
          <w:color w:val="auto"/>
        </w:rPr>
        <w:t xml:space="preserve">, </w:t>
      </w:r>
      <w:proofErr w:type="spellStart"/>
      <w:r w:rsidR="00A910FE" w:rsidRPr="005E6BFA">
        <w:rPr>
          <w:color w:val="auto"/>
        </w:rPr>
        <w:t>Janoušková</w:t>
      </w:r>
      <w:proofErr w:type="spellEnd"/>
      <w:r w:rsidR="00A910FE" w:rsidRPr="005E6BFA">
        <w:rPr>
          <w:color w:val="auto"/>
        </w:rPr>
        <w:t xml:space="preserve"> and </w:t>
      </w:r>
      <w:proofErr w:type="spellStart"/>
      <w:r w:rsidR="00A910FE" w:rsidRPr="005E6BFA">
        <w:rPr>
          <w:color w:val="auto"/>
        </w:rPr>
        <w:t>Hák</w:t>
      </w:r>
      <w:proofErr w:type="spellEnd"/>
      <w:r w:rsidR="00A910FE" w:rsidRPr="005E6BFA">
        <w:rPr>
          <w:color w:val="auto"/>
        </w:rPr>
        <w:t xml:space="preserve"> </w:t>
      </w:r>
      <w:r w:rsidR="00040722" w:rsidRPr="005E6BFA">
        <w:rPr>
          <w:color w:val="auto"/>
        </w:rPr>
        <w:t>2012</w:t>
      </w:r>
      <w:r w:rsidRPr="00C901F8">
        <w:rPr>
          <w:color w:val="auto"/>
        </w:rPr>
        <w:t>). Indicators are constructed to measure the state of complex systems which may not be observed directly or comprehensively. They measure certain aspects and</w:t>
      </w:r>
      <w:r w:rsidR="00A8122C" w:rsidRPr="00C901F8">
        <w:rPr>
          <w:color w:val="auto"/>
        </w:rPr>
        <w:t>,</w:t>
      </w:r>
      <w:r w:rsidRPr="00C901F8">
        <w:rPr>
          <w:color w:val="auto"/>
        </w:rPr>
        <w:t xml:space="preserve"> based on theoretical considerations and/or evidence, conclusions can be drawn </w:t>
      </w:r>
      <w:r w:rsidR="00DC3030" w:rsidRPr="00C901F8">
        <w:rPr>
          <w:color w:val="auto"/>
        </w:rPr>
        <w:t>regarding</w:t>
      </w:r>
      <w:r w:rsidRPr="00C901F8">
        <w:rPr>
          <w:color w:val="auto"/>
        </w:rPr>
        <w:t xml:space="preserve"> the state of the overall system. For the purpose of measuring policy effectiveness, it is necessary to be explicit on the theory regarding how policies and the selected indicator interact.</w:t>
      </w:r>
    </w:p>
    <w:p w14:paraId="29F914C5" w14:textId="56718299" w:rsidR="00040722" w:rsidRPr="00C901F8" w:rsidRDefault="00024BBE" w:rsidP="00566049">
      <w:pPr>
        <w:rPr>
          <w:color w:val="auto"/>
        </w:rPr>
      </w:pPr>
      <w:r w:rsidRPr="00C901F8">
        <w:rPr>
          <w:color w:val="auto"/>
        </w:rPr>
        <w:t>Indicators that provide insights to the state of ecol</w:t>
      </w:r>
      <w:r w:rsidR="00040722" w:rsidRPr="00B4619D">
        <w:rPr>
          <w:color w:val="auto"/>
        </w:rPr>
        <w:t>ogical</w:t>
      </w:r>
      <w:r w:rsidRPr="00C901F8">
        <w:rPr>
          <w:color w:val="auto"/>
        </w:rPr>
        <w:t xml:space="preserve"> or economic systems and their environmental performance are in many cases not directly influenced by policies. Instead, cultural, structural, </w:t>
      </w:r>
      <w:r w:rsidR="00AD0760" w:rsidRPr="00C901F8">
        <w:rPr>
          <w:color w:val="auto"/>
        </w:rPr>
        <w:t xml:space="preserve">political, </w:t>
      </w:r>
      <w:r w:rsidRPr="00C901F8">
        <w:rPr>
          <w:color w:val="auto"/>
        </w:rPr>
        <w:t>ge</w:t>
      </w:r>
      <w:r w:rsidR="00040722" w:rsidRPr="00B4619D">
        <w:rPr>
          <w:color w:val="auto"/>
        </w:rPr>
        <w:t>ogra</w:t>
      </w:r>
      <w:r w:rsidRPr="00C901F8">
        <w:rPr>
          <w:color w:val="auto"/>
        </w:rPr>
        <w:t xml:space="preserve">phical and other factors may intervene. Measuring the policy outputs (e.g. adoption of policy instruments) would not adequately capture the preferences of different countries for one or </w:t>
      </w:r>
      <w:r w:rsidR="005A19C9">
        <w:rPr>
          <w:color w:val="auto"/>
        </w:rPr>
        <w:t>an</w:t>
      </w:r>
      <w:r w:rsidRPr="00C901F8">
        <w:rPr>
          <w:color w:val="auto"/>
        </w:rPr>
        <w:t xml:space="preserve">other instrument. </w:t>
      </w:r>
      <w:r w:rsidRPr="00C901F8">
        <w:rPr>
          <w:color w:val="auto"/>
        </w:rPr>
        <w:lastRenderedPageBreak/>
        <w:t>For example, for mitigating greenhouse gas (GHG)</w:t>
      </w:r>
      <w:r w:rsidR="005A19C9" w:rsidRPr="005A19C9">
        <w:rPr>
          <w:color w:val="auto"/>
        </w:rPr>
        <w:t xml:space="preserve"> </w:t>
      </w:r>
      <w:r w:rsidR="005A19C9" w:rsidRPr="00B4619D">
        <w:rPr>
          <w:color w:val="auto"/>
        </w:rPr>
        <w:t>emission</w:t>
      </w:r>
      <w:r w:rsidR="005A19C9" w:rsidRPr="00C901F8">
        <w:rPr>
          <w:color w:val="auto"/>
        </w:rPr>
        <w:t>s</w:t>
      </w:r>
      <w:r w:rsidRPr="00C901F8">
        <w:rPr>
          <w:color w:val="auto"/>
        </w:rPr>
        <w:t xml:space="preserve">, one country may regulate </w:t>
      </w:r>
      <w:r w:rsidR="00040722" w:rsidRPr="00B4619D">
        <w:rPr>
          <w:color w:val="auto"/>
        </w:rPr>
        <w:t>emission</w:t>
      </w:r>
      <w:r w:rsidRPr="00C901F8">
        <w:rPr>
          <w:color w:val="auto"/>
        </w:rPr>
        <w:t xml:space="preserve">s, another imposes taxes or </w:t>
      </w:r>
      <w:r w:rsidR="00040722" w:rsidRPr="00B4619D">
        <w:rPr>
          <w:color w:val="auto"/>
        </w:rPr>
        <w:t>emission</w:t>
      </w:r>
      <w:r w:rsidRPr="00C901F8">
        <w:rPr>
          <w:color w:val="auto"/>
        </w:rPr>
        <w:t xml:space="preserve"> trading schemes, a third implements information campaigns or subsidizes climate</w:t>
      </w:r>
      <w:r w:rsidR="005A19C9">
        <w:rPr>
          <w:color w:val="auto"/>
        </w:rPr>
        <w:t>-</w:t>
      </w:r>
      <w:r w:rsidRPr="00C901F8">
        <w:rPr>
          <w:color w:val="auto"/>
        </w:rPr>
        <w:t>friendly technol</w:t>
      </w:r>
      <w:r w:rsidR="00040722" w:rsidRPr="00B4619D">
        <w:rPr>
          <w:color w:val="auto"/>
        </w:rPr>
        <w:t>ogies</w:t>
      </w:r>
      <w:r w:rsidRPr="00C901F8">
        <w:rPr>
          <w:color w:val="auto"/>
        </w:rPr>
        <w:t xml:space="preserve">. In </w:t>
      </w:r>
      <w:r w:rsidR="00303B2B">
        <w:rPr>
          <w:color w:val="auto"/>
        </w:rPr>
        <w:t xml:space="preserve">each </w:t>
      </w:r>
      <w:r w:rsidRPr="00C901F8">
        <w:rPr>
          <w:color w:val="auto"/>
        </w:rPr>
        <w:t xml:space="preserve">of these cases, the </w:t>
      </w:r>
      <w:r w:rsidR="00303B2B">
        <w:rPr>
          <w:color w:val="auto"/>
        </w:rPr>
        <w:t xml:space="preserve">expected impact will be </w:t>
      </w:r>
      <w:r w:rsidRPr="00C901F8">
        <w:rPr>
          <w:color w:val="auto"/>
        </w:rPr>
        <w:t xml:space="preserve">reducing </w:t>
      </w:r>
      <w:r w:rsidR="00040722" w:rsidRPr="00B4619D">
        <w:rPr>
          <w:color w:val="auto"/>
        </w:rPr>
        <w:t>emission</w:t>
      </w:r>
      <w:r w:rsidRPr="00C901F8">
        <w:rPr>
          <w:color w:val="auto"/>
        </w:rPr>
        <w:t xml:space="preserve">s of GHGs. The indicator is influenced, however, by </w:t>
      </w:r>
      <w:r w:rsidR="00DE194B" w:rsidRPr="00C901F8">
        <w:rPr>
          <w:color w:val="auto"/>
        </w:rPr>
        <w:t xml:space="preserve">the </w:t>
      </w:r>
      <w:r w:rsidRPr="00C901F8">
        <w:rPr>
          <w:color w:val="auto"/>
        </w:rPr>
        <w:t xml:space="preserve">industrial structure, natural conditions, level of income, </w:t>
      </w:r>
      <w:r w:rsidR="005A19C9">
        <w:rPr>
          <w:color w:val="auto"/>
        </w:rPr>
        <w:t>and others</w:t>
      </w:r>
      <w:r w:rsidRPr="00C901F8">
        <w:rPr>
          <w:color w:val="auto"/>
        </w:rPr>
        <w:t xml:space="preserve"> – factors that are not</w:t>
      </w:r>
      <w:r w:rsidR="005A19C9">
        <w:rPr>
          <w:color w:val="auto"/>
        </w:rPr>
        <w:t>,</w:t>
      </w:r>
      <w:r w:rsidRPr="00C901F8">
        <w:rPr>
          <w:color w:val="auto"/>
        </w:rPr>
        <w:t xml:space="preserve"> or not directly</w:t>
      </w:r>
      <w:r w:rsidR="005A19C9">
        <w:rPr>
          <w:color w:val="auto"/>
        </w:rPr>
        <w:t>,</w:t>
      </w:r>
      <w:r w:rsidRPr="00C901F8">
        <w:rPr>
          <w:color w:val="auto"/>
        </w:rPr>
        <w:t xml:space="preserve"> impacted by (environmental) policies.</w:t>
      </w:r>
    </w:p>
    <w:p w14:paraId="539E90D3" w14:textId="5BABF86E" w:rsidR="00040722" w:rsidRDefault="00024BBE" w:rsidP="00566049">
      <w:pPr>
        <w:rPr>
          <w:color w:val="auto"/>
        </w:rPr>
      </w:pPr>
      <w:r w:rsidRPr="00C901F8">
        <w:rPr>
          <w:color w:val="auto"/>
        </w:rPr>
        <w:t>Therefore, an indicator</w:t>
      </w:r>
      <w:r w:rsidR="00DE194B" w:rsidRPr="00C901F8">
        <w:rPr>
          <w:color w:val="auto"/>
        </w:rPr>
        <w:t>-</w:t>
      </w:r>
      <w:r w:rsidRPr="00C901F8">
        <w:rPr>
          <w:color w:val="auto"/>
        </w:rPr>
        <w:t xml:space="preserve">based assessment must </w:t>
      </w:r>
      <w:r w:rsidR="005A19C9">
        <w:rPr>
          <w:color w:val="auto"/>
        </w:rPr>
        <w:t>have a</w:t>
      </w:r>
      <w:r w:rsidR="005A19C9" w:rsidRPr="00C901F8">
        <w:rPr>
          <w:color w:val="auto"/>
        </w:rPr>
        <w:t xml:space="preserve"> </w:t>
      </w:r>
      <w:r w:rsidRPr="00C901F8">
        <w:rPr>
          <w:color w:val="auto"/>
        </w:rPr>
        <w:t xml:space="preserve">transparent underlying theory on how policies would impact on the selected indicator and what other factors </w:t>
      </w:r>
      <w:r w:rsidR="00DC3030" w:rsidRPr="00C901F8">
        <w:rPr>
          <w:color w:val="auto"/>
        </w:rPr>
        <w:t xml:space="preserve">may </w:t>
      </w:r>
      <w:r w:rsidR="005A19C9">
        <w:rPr>
          <w:color w:val="auto"/>
        </w:rPr>
        <w:t xml:space="preserve">also </w:t>
      </w:r>
      <w:r w:rsidRPr="00C901F8">
        <w:rPr>
          <w:color w:val="auto"/>
        </w:rPr>
        <w:t xml:space="preserve">have an influence. </w:t>
      </w:r>
      <w:r w:rsidR="00303B2B">
        <w:rPr>
          <w:color w:val="auto"/>
        </w:rPr>
        <w:fldChar w:fldCharType="begin"/>
      </w:r>
      <w:r w:rsidR="00303B2B">
        <w:rPr>
          <w:color w:val="auto"/>
        </w:rPr>
        <w:instrText xml:space="preserve"> REF _Ref525082503 \h </w:instrText>
      </w:r>
      <w:r w:rsidR="00303B2B">
        <w:rPr>
          <w:color w:val="auto"/>
        </w:rPr>
      </w:r>
      <w:r w:rsidR="00303B2B">
        <w:rPr>
          <w:color w:val="auto"/>
        </w:rPr>
        <w:fldChar w:fldCharType="separate"/>
      </w:r>
      <w:r w:rsidR="00303B2B" w:rsidRPr="00C901F8">
        <w:rPr>
          <w:color w:val="auto"/>
        </w:rPr>
        <w:t xml:space="preserve">Figure </w:t>
      </w:r>
      <w:r w:rsidR="00303B2B" w:rsidRPr="00C901F8">
        <w:rPr>
          <w:noProof/>
          <w:color w:val="auto"/>
        </w:rPr>
        <w:t>10</w:t>
      </w:r>
      <w:r w:rsidR="00303B2B" w:rsidRPr="00C901F8">
        <w:rPr>
          <w:color w:val="auto"/>
        </w:rPr>
        <w:t>.</w:t>
      </w:r>
      <w:r w:rsidR="00303B2B" w:rsidRPr="00C901F8">
        <w:rPr>
          <w:noProof/>
          <w:color w:val="auto"/>
        </w:rPr>
        <w:t>2</w:t>
      </w:r>
      <w:r w:rsidR="00303B2B">
        <w:rPr>
          <w:color w:val="auto"/>
        </w:rPr>
        <w:fldChar w:fldCharType="end"/>
      </w:r>
      <w:r w:rsidRPr="00C901F8">
        <w:rPr>
          <w:color w:val="auto"/>
        </w:rPr>
        <w:t xml:space="preserve"> shows the underlying rationale for developing the theory on the relation</w:t>
      </w:r>
      <w:r w:rsidR="00303B2B">
        <w:rPr>
          <w:color w:val="auto"/>
        </w:rPr>
        <w:t>ship</w:t>
      </w:r>
      <w:r w:rsidRPr="00C901F8">
        <w:rPr>
          <w:color w:val="auto"/>
        </w:rPr>
        <w:t xml:space="preserve"> between policies and relevant indicators.</w:t>
      </w:r>
    </w:p>
    <w:p w14:paraId="0526BE88" w14:textId="77777777" w:rsidR="002E6D4A" w:rsidRPr="00C901F8" w:rsidRDefault="002E6D4A" w:rsidP="00566049">
      <w:pPr>
        <w:rPr>
          <w:color w:val="auto"/>
        </w:rPr>
      </w:pPr>
    </w:p>
    <w:p w14:paraId="3A680CA5" w14:textId="5B3C5204" w:rsidR="00040722" w:rsidRPr="00C901F8" w:rsidRDefault="002B4B64" w:rsidP="00883EA0">
      <w:pPr>
        <w:jc w:val="both"/>
        <w:rPr>
          <w:color w:val="auto"/>
        </w:rPr>
      </w:pPr>
      <w:r>
        <w:rPr>
          <w:noProof/>
        </w:rPr>
        <w:drawing>
          <wp:inline distT="0" distB="0" distL="0" distR="0" wp14:anchorId="34235199" wp14:editId="49FE34DF">
            <wp:extent cx="52292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29225" cy="2257425"/>
                    </a:xfrm>
                    <a:prstGeom prst="rect">
                      <a:avLst/>
                    </a:prstGeom>
                  </pic:spPr>
                </pic:pic>
              </a:graphicData>
            </a:graphic>
          </wp:inline>
        </w:drawing>
      </w:r>
      <w:bookmarkStart w:id="13" w:name="_GoBack"/>
      <w:bookmarkEnd w:id="13"/>
    </w:p>
    <w:p w14:paraId="44B9FA58" w14:textId="77777777" w:rsidR="00040722" w:rsidRDefault="00406184" w:rsidP="00303B2B">
      <w:pPr>
        <w:pStyle w:val="Caption"/>
      </w:pPr>
      <w:bookmarkStart w:id="14" w:name="_Ref525082503"/>
      <w:r w:rsidRPr="00C901F8">
        <w:t xml:space="preserve">Figure </w:t>
      </w:r>
      <w:r w:rsidR="00903103" w:rsidRPr="00C901F8">
        <w:rPr>
          <w:noProof/>
        </w:rPr>
        <w:fldChar w:fldCharType="begin"/>
      </w:r>
      <w:r w:rsidR="00903103" w:rsidRPr="00C901F8">
        <w:rPr>
          <w:noProof/>
        </w:rPr>
        <w:instrText xml:space="preserve"> STYLEREF 1 \s </w:instrText>
      </w:r>
      <w:r w:rsidR="00903103" w:rsidRPr="00C901F8">
        <w:rPr>
          <w:noProof/>
        </w:rPr>
        <w:fldChar w:fldCharType="separate"/>
      </w:r>
      <w:r w:rsidRPr="00C901F8">
        <w:rPr>
          <w:noProof/>
        </w:rPr>
        <w:t>10</w:t>
      </w:r>
      <w:r w:rsidR="00903103" w:rsidRPr="00C901F8">
        <w:rPr>
          <w:noProof/>
        </w:rPr>
        <w:fldChar w:fldCharType="end"/>
      </w:r>
      <w:r w:rsidRPr="00C901F8">
        <w:t>.</w:t>
      </w:r>
      <w:r w:rsidR="00903103" w:rsidRPr="00C901F8">
        <w:rPr>
          <w:noProof/>
        </w:rPr>
        <w:fldChar w:fldCharType="begin"/>
      </w:r>
      <w:r w:rsidR="00903103" w:rsidRPr="00C901F8">
        <w:rPr>
          <w:noProof/>
        </w:rPr>
        <w:instrText xml:space="preserve"> SEQ Figure \* ARABIC \s 1 </w:instrText>
      </w:r>
      <w:r w:rsidR="00903103" w:rsidRPr="00C901F8">
        <w:rPr>
          <w:noProof/>
        </w:rPr>
        <w:fldChar w:fldCharType="separate"/>
      </w:r>
      <w:r w:rsidRPr="00C901F8">
        <w:rPr>
          <w:noProof/>
        </w:rPr>
        <w:t>2</w:t>
      </w:r>
      <w:r w:rsidR="00903103" w:rsidRPr="00C901F8">
        <w:rPr>
          <w:noProof/>
        </w:rPr>
        <w:fldChar w:fldCharType="end"/>
      </w:r>
      <w:bookmarkEnd w:id="14"/>
      <w:r w:rsidRPr="00C901F8">
        <w:t xml:space="preserve">: </w:t>
      </w:r>
      <w:r w:rsidR="00A83628" w:rsidRPr="00C901F8">
        <w:t xml:space="preserve">Approach </w:t>
      </w:r>
      <w:r w:rsidRPr="00C901F8">
        <w:t xml:space="preserve">of </w:t>
      </w:r>
      <w:r w:rsidR="00E13B82" w:rsidRPr="00C901F8">
        <w:t>assessing policy effectiveness from the bottom up</w:t>
      </w:r>
    </w:p>
    <w:p w14:paraId="2DC5EB18" w14:textId="77777777" w:rsidR="00E13B82" w:rsidRDefault="00E13B82" w:rsidP="00EB28E7">
      <w:pPr>
        <w:pStyle w:val="Caption"/>
      </w:pPr>
      <w:proofErr w:type="spellStart"/>
      <w:r>
        <w:t>SoE</w:t>
      </w:r>
      <w:proofErr w:type="spellEnd"/>
      <w:r>
        <w:t xml:space="preserve">: </w:t>
      </w:r>
      <w:r w:rsidR="006B2BBE">
        <w:t>State of Environment</w:t>
      </w:r>
    </w:p>
    <w:p w14:paraId="1CD8CB7E" w14:textId="3AF908B9" w:rsidR="006B2BBE" w:rsidRPr="005E6BFA" w:rsidRDefault="00E13B82" w:rsidP="00EB28E7">
      <w:pPr>
        <w:pStyle w:val="Caption"/>
      </w:pPr>
      <w:r>
        <w:rPr>
          <w:i/>
        </w:rPr>
        <w:t>Source:</w:t>
      </w:r>
      <w:r>
        <w:t xml:space="preserve"> </w:t>
      </w:r>
      <w:r w:rsidR="006B2BBE" w:rsidRPr="00D07D15">
        <w:t xml:space="preserve"> </w:t>
      </w:r>
      <w:r w:rsidR="006B2BBE">
        <w:t>Authors</w:t>
      </w:r>
      <w:r w:rsidR="006B2BBE" w:rsidRPr="00B8788D">
        <w:t xml:space="preserve"> (</w:t>
      </w:r>
      <w:r w:rsidR="006B2BBE">
        <w:t>2018</w:t>
      </w:r>
      <w:r w:rsidR="006B2BBE" w:rsidRPr="00B8788D">
        <w:t>)</w:t>
      </w:r>
      <w:r w:rsidR="00D2194A">
        <w:t>.</w:t>
      </w:r>
    </w:p>
    <w:p w14:paraId="4F312802" w14:textId="77777777" w:rsidR="00040722" w:rsidRPr="00C901F8" w:rsidRDefault="00024BBE" w:rsidP="00566049">
      <w:pPr>
        <w:rPr>
          <w:color w:val="auto"/>
        </w:rPr>
      </w:pPr>
      <w:r w:rsidRPr="00C901F8">
        <w:rPr>
          <w:color w:val="auto"/>
        </w:rPr>
        <w:t xml:space="preserve">The analysis of data for the selected indicators has </w:t>
      </w:r>
      <w:r w:rsidR="00DE194B" w:rsidRPr="00C901F8">
        <w:rPr>
          <w:color w:val="auto"/>
        </w:rPr>
        <w:t xml:space="preserve">multiple </w:t>
      </w:r>
      <w:r w:rsidRPr="00C901F8">
        <w:rPr>
          <w:color w:val="auto"/>
        </w:rPr>
        <w:t>objectives:</w:t>
      </w:r>
    </w:p>
    <w:p w14:paraId="2BD8AAF8" w14:textId="77777777" w:rsidR="00040722" w:rsidRPr="00C901F8" w:rsidRDefault="00024BBE" w:rsidP="005E6BFA">
      <w:pPr>
        <w:pStyle w:val="ListParagraph"/>
        <w:numPr>
          <w:ilvl w:val="0"/>
          <w:numId w:val="35"/>
        </w:numPr>
      </w:pPr>
      <w:r w:rsidRPr="00C901F8">
        <w:t xml:space="preserve">To analyse </w:t>
      </w:r>
      <w:r w:rsidR="00040722" w:rsidRPr="00B4619D">
        <w:t>progress</w:t>
      </w:r>
      <w:r w:rsidRPr="00C901F8">
        <w:t xml:space="preserve"> on achieving internationally agreed goals since GEO</w:t>
      </w:r>
      <w:r w:rsidR="00DE194B" w:rsidRPr="00C901F8">
        <w:t>-5</w:t>
      </w:r>
      <w:r w:rsidR="00DC3030" w:rsidRPr="00C901F8">
        <w:t xml:space="preserve"> (including the SDGs)</w:t>
      </w:r>
      <w:r w:rsidRPr="00C901F8">
        <w:t>;</w:t>
      </w:r>
    </w:p>
    <w:p w14:paraId="3223C88E" w14:textId="77777777" w:rsidR="00040722" w:rsidRPr="00C901F8" w:rsidRDefault="00024BBE" w:rsidP="005E6BFA">
      <w:pPr>
        <w:pStyle w:val="ListParagraph"/>
        <w:numPr>
          <w:ilvl w:val="0"/>
          <w:numId w:val="35"/>
        </w:numPr>
      </w:pPr>
      <w:r w:rsidRPr="00C901F8">
        <w:t xml:space="preserve">To identify countries or groups of countries that demonstrate </w:t>
      </w:r>
      <w:r w:rsidR="00E13B82">
        <w:t xml:space="preserve">– </w:t>
      </w:r>
      <w:r w:rsidRPr="00C901F8">
        <w:t xml:space="preserve">with their policy approaches and implementation </w:t>
      </w:r>
      <w:r w:rsidR="0001247A" w:rsidRPr="00C901F8">
        <w:t xml:space="preserve">experience </w:t>
      </w:r>
      <w:r w:rsidR="00E13B82">
        <w:t xml:space="preserve">– </w:t>
      </w:r>
      <w:r w:rsidRPr="00C901F8">
        <w:t>a high level of effectiveness; and</w:t>
      </w:r>
    </w:p>
    <w:p w14:paraId="21D1CEF9" w14:textId="77777777" w:rsidR="00040722" w:rsidRPr="00C901F8" w:rsidRDefault="00024BBE" w:rsidP="005E6BFA">
      <w:pPr>
        <w:pStyle w:val="ListParagraph"/>
        <w:numPr>
          <w:ilvl w:val="0"/>
          <w:numId w:val="35"/>
        </w:numPr>
      </w:pPr>
      <w:r w:rsidRPr="00C901F8">
        <w:t xml:space="preserve">To quantify </w:t>
      </w:r>
      <w:r w:rsidR="004048B3" w:rsidRPr="00C901F8">
        <w:t>policy</w:t>
      </w:r>
      <w:r w:rsidRPr="00C901F8">
        <w:t xml:space="preserve"> impacts and th</w:t>
      </w:r>
      <w:r w:rsidR="004048B3" w:rsidRPr="00C901F8">
        <w:t>us</w:t>
      </w:r>
      <w:r w:rsidRPr="00C901F8">
        <w:t xml:space="preserve"> identify </w:t>
      </w:r>
      <w:r w:rsidR="004048B3" w:rsidRPr="00C901F8">
        <w:t>where</w:t>
      </w:r>
      <w:r w:rsidRPr="00C901F8">
        <w:t xml:space="preserve"> further action may be needed.</w:t>
      </w:r>
    </w:p>
    <w:p w14:paraId="08FDE2B4" w14:textId="6F666D6C" w:rsidR="00040722" w:rsidRPr="00C901F8" w:rsidRDefault="00024BBE" w:rsidP="00566049">
      <w:pPr>
        <w:rPr>
          <w:color w:val="auto"/>
        </w:rPr>
      </w:pPr>
      <w:r w:rsidRPr="00C901F8">
        <w:rPr>
          <w:color w:val="auto"/>
        </w:rPr>
        <w:t xml:space="preserve">The selection of indicators </w:t>
      </w:r>
      <w:r w:rsidR="00303B2B">
        <w:rPr>
          <w:color w:val="auto"/>
        </w:rPr>
        <w:t>is based on the following rationale</w:t>
      </w:r>
      <w:r w:rsidRPr="00C901F8">
        <w:rPr>
          <w:color w:val="auto"/>
        </w:rPr>
        <w:t>:</w:t>
      </w:r>
    </w:p>
    <w:p w14:paraId="0EEEC85E" w14:textId="31E40A74" w:rsidR="00040722" w:rsidRPr="00C901F8" w:rsidRDefault="00024BBE" w:rsidP="005E6BFA">
      <w:pPr>
        <w:pStyle w:val="ListParagraph"/>
        <w:numPr>
          <w:ilvl w:val="0"/>
          <w:numId w:val="36"/>
        </w:numPr>
      </w:pPr>
      <w:r w:rsidRPr="00C901F8">
        <w:t>There is a causal relation</w:t>
      </w:r>
      <w:r w:rsidR="00E13B82">
        <w:t>ship</w:t>
      </w:r>
      <w:r w:rsidRPr="00C901F8">
        <w:t xml:space="preserve"> determining the variation of the indicator to policy instrument (preferably</w:t>
      </w:r>
      <w:r w:rsidR="00E13B82">
        <w:t>,</w:t>
      </w:r>
      <w:r w:rsidRPr="00C901F8">
        <w:t xml:space="preserve"> different types of policy instruments) and their implementation can be demonstrated;</w:t>
      </w:r>
    </w:p>
    <w:p w14:paraId="798981BB" w14:textId="6E63A31B" w:rsidR="00040722" w:rsidRPr="00C901F8" w:rsidRDefault="003D5739" w:rsidP="005E6BFA">
      <w:pPr>
        <w:pStyle w:val="ListParagraph"/>
        <w:numPr>
          <w:ilvl w:val="0"/>
          <w:numId w:val="36"/>
        </w:numPr>
      </w:pPr>
      <w:r w:rsidRPr="00C901F8">
        <w:t>The indicator h</w:t>
      </w:r>
      <w:r w:rsidR="00024BBE" w:rsidRPr="00C901F8">
        <w:t>a</w:t>
      </w:r>
      <w:r w:rsidR="00303B2B">
        <w:t>s</w:t>
      </w:r>
      <w:r w:rsidR="00024BBE" w:rsidRPr="00C901F8">
        <w:t xml:space="preserve"> a relation</w:t>
      </w:r>
      <w:r w:rsidR="00303B2B">
        <w:t>ship</w:t>
      </w:r>
      <w:r w:rsidR="00024BBE" w:rsidRPr="00C901F8">
        <w:t xml:space="preserve"> to </w:t>
      </w:r>
      <w:r w:rsidR="002259DC" w:rsidRPr="002259DC">
        <w:t>multilateral environmental agreement</w:t>
      </w:r>
      <w:r w:rsidR="002259DC">
        <w:t xml:space="preserve"> (</w:t>
      </w:r>
      <w:r w:rsidRPr="005E6BFA">
        <w:t>MEAs</w:t>
      </w:r>
      <w:r w:rsidR="002259DC">
        <w:t>)</w:t>
      </w:r>
      <w:r w:rsidRPr="00C901F8">
        <w:t xml:space="preserve"> and/or SDGs to guarantee the alignment of the analysis with the future global agenda;</w:t>
      </w:r>
    </w:p>
    <w:p w14:paraId="2B42DCFE" w14:textId="7F752975" w:rsidR="00040722" w:rsidRPr="00C901F8" w:rsidRDefault="003D5739" w:rsidP="005E6BFA">
      <w:pPr>
        <w:pStyle w:val="ListParagraph"/>
        <w:numPr>
          <w:ilvl w:val="0"/>
          <w:numId w:val="36"/>
        </w:numPr>
      </w:pPr>
      <w:r w:rsidRPr="00C901F8">
        <w:t xml:space="preserve">Data </w:t>
      </w:r>
      <w:r w:rsidR="00ED3E4B" w:rsidRPr="00C901F8">
        <w:t>need to</w:t>
      </w:r>
      <w:r w:rsidRPr="00C901F8">
        <w:t xml:space="preserve"> be available (at least at country level, and possibly at global scale, </w:t>
      </w:r>
      <w:proofErr w:type="gramStart"/>
      <w:r w:rsidR="00303B2B">
        <w:t xml:space="preserve">and </w:t>
      </w:r>
      <w:r w:rsidRPr="00C901F8">
        <w:t>also</w:t>
      </w:r>
      <w:proofErr w:type="gramEnd"/>
      <w:r w:rsidRPr="00C901F8">
        <w:t xml:space="preserve"> in </w:t>
      </w:r>
      <w:r w:rsidR="00303B2B">
        <w:t xml:space="preserve">a </w:t>
      </w:r>
      <w:r w:rsidRPr="00C901F8">
        <w:t>time series);</w:t>
      </w:r>
    </w:p>
    <w:p w14:paraId="3F24D211" w14:textId="2786629E" w:rsidR="00040722" w:rsidRPr="00C901F8" w:rsidRDefault="00ED3E4B" w:rsidP="005E6BFA">
      <w:pPr>
        <w:pStyle w:val="ListParagraph"/>
        <w:numPr>
          <w:ilvl w:val="0"/>
          <w:numId w:val="36"/>
        </w:numPr>
      </w:pPr>
      <w:r w:rsidRPr="00C901F8">
        <w:t>The i</w:t>
      </w:r>
      <w:r w:rsidR="00024BBE" w:rsidRPr="00C901F8">
        <w:t xml:space="preserve">ndicator should be relevant for the thematic area, i.e. </w:t>
      </w:r>
      <w:r w:rsidR="00303B2B">
        <w:t xml:space="preserve">it </w:t>
      </w:r>
      <w:r w:rsidR="00024BBE" w:rsidRPr="00C901F8">
        <w:t>would provide insights to the state of the environment for the respective thematic area</w:t>
      </w:r>
      <w:r w:rsidR="00E13B82">
        <w:t>;</w:t>
      </w:r>
      <w:r w:rsidR="00024BBE" w:rsidRPr="00C901F8">
        <w:t xml:space="preserve"> </w:t>
      </w:r>
      <w:r w:rsidR="00E13B82" w:rsidRPr="00C901F8">
        <w:t xml:space="preserve">the </w:t>
      </w:r>
      <w:r w:rsidR="00024BBE" w:rsidRPr="00C901F8">
        <w:t xml:space="preserve">indicator should ideally </w:t>
      </w:r>
      <w:r w:rsidR="00303B2B">
        <w:t>consider the policy responses</w:t>
      </w:r>
      <w:r w:rsidR="00024BBE" w:rsidRPr="00C901F8">
        <w:t xml:space="preserve"> discussed in Part A of this report.</w:t>
      </w:r>
    </w:p>
    <w:p w14:paraId="029BAF32" w14:textId="77777777" w:rsidR="00040722" w:rsidRPr="00C901F8" w:rsidRDefault="00024BBE" w:rsidP="00566049">
      <w:pPr>
        <w:rPr>
          <w:color w:val="auto"/>
        </w:rPr>
      </w:pPr>
      <w:r w:rsidRPr="00C901F8">
        <w:rPr>
          <w:color w:val="auto"/>
        </w:rPr>
        <w:t>For each indicator, the following aspects</w:t>
      </w:r>
      <w:r w:rsidR="003D5739" w:rsidRPr="00C901F8">
        <w:rPr>
          <w:color w:val="auto"/>
        </w:rPr>
        <w:t xml:space="preserve"> are considered, based on peer</w:t>
      </w:r>
      <w:r w:rsidR="00A8122C" w:rsidRPr="00C901F8">
        <w:rPr>
          <w:color w:val="auto"/>
        </w:rPr>
        <w:t>-</w:t>
      </w:r>
      <w:r w:rsidR="003D5739" w:rsidRPr="00C901F8">
        <w:rPr>
          <w:color w:val="auto"/>
        </w:rPr>
        <w:t xml:space="preserve">reviewed </w:t>
      </w:r>
      <w:r w:rsidR="003D5739" w:rsidRPr="00C901F8">
        <w:rPr>
          <w:color w:val="auto"/>
        </w:rPr>
        <w:lastRenderedPageBreak/>
        <w:t>literature</w:t>
      </w:r>
      <w:r w:rsidR="00E13B82">
        <w:rPr>
          <w:color w:val="auto"/>
        </w:rPr>
        <w:t>.</w:t>
      </w:r>
    </w:p>
    <w:p w14:paraId="299CBC8D" w14:textId="3E116C0D" w:rsidR="00040722" w:rsidRPr="00C901F8" w:rsidRDefault="00D27FC2" w:rsidP="005E6BFA">
      <w:pPr>
        <w:pStyle w:val="ListParagraph"/>
        <w:numPr>
          <w:ilvl w:val="0"/>
          <w:numId w:val="37"/>
        </w:numPr>
      </w:pPr>
      <w:r w:rsidRPr="00C901F8">
        <w:t>Scope and measurement</w:t>
      </w:r>
      <w:r w:rsidR="00ED3E4B" w:rsidRPr="00C901F8">
        <w:t xml:space="preserve">: the indicator should provide insight </w:t>
      </w:r>
      <w:r w:rsidR="00303B2B">
        <w:t>in</w:t>
      </w:r>
      <w:r w:rsidR="00ED3E4B" w:rsidRPr="00C901F8">
        <w:t>to the state of the environment for the respective thematic area. The argument behind selecting each indicator in a thematic area is made transparent.</w:t>
      </w:r>
    </w:p>
    <w:p w14:paraId="7CFA2737" w14:textId="77777777" w:rsidR="00040722" w:rsidRPr="00C901F8" w:rsidRDefault="00024BBE" w:rsidP="005E6BFA">
      <w:pPr>
        <w:pStyle w:val="ListParagraph"/>
        <w:numPr>
          <w:ilvl w:val="0"/>
          <w:numId w:val="37"/>
        </w:numPr>
      </w:pPr>
      <w:r w:rsidRPr="00C901F8">
        <w:t xml:space="preserve">Policy relevance: </w:t>
      </w:r>
      <w:r w:rsidR="003C345B" w:rsidRPr="00C901F8">
        <w:t xml:space="preserve">the </w:t>
      </w:r>
      <w:r w:rsidR="002423BF" w:rsidRPr="00C901F8">
        <w:t>causal relation</w:t>
      </w:r>
      <w:r w:rsidR="00E13B82">
        <w:t>ship</w:t>
      </w:r>
      <w:r w:rsidR="002423BF" w:rsidRPr="00C901F8">
        <w:t xml:space="preserve"> </w:t>
      </w:r>
      <w:r w:rsidR="003C345B" w:rsidRPr="00C901F8">
        <w:t>between policy measures and instruments and the indicator is specified.</w:t>
      </w:r>
    </w:p>
    <w:p w14:paraId="23BF7074" w14:textId="3D6B0617" w:rsidR="00040722" w:rsidRPr="00C901F8" w:rsidRDefault="0001247A" w:rsidP="00566049">
      <w:pPr>
        <w:rPr>
          <w:color w:val="auto"/>
        </w:rPr>
      </w:pPr>
      <w:r w:rsidRPr="00C901F8">
        <w:rPr>
          <w:color w:val="auto"/>
        </w:rPr>
        <w:t xml:space="preserve">Not all indicators are policy </w:t>
      </w:r>
      <w:proofErr w:type="gramStart"/>
      <w:r w:rsidRPr="00C901F8">
        <w:rPr>
          <w:color w:val="auto"/>
        </w:rPr>
        <w:t>sensitive</w:t>
      </w:r>
      <w:proofErr w:type="gramEnd"/>
      <w:r w:rsidR="00303B2B">
        <w:rPr>
          <w:color w:val="auto"/>
        </w:rPr>
        <w:t xml:space="preserve"> but the following questions can be asked of the indicators</w:t>
      </w:r>
      <w:r w:rsidRPr="00C901F8">
        <w:rPr>
          <w:color w:val="auto"/>
        </w:rPr>
        <w:t xml:space="preserve">. </w:t>
      </w:r>
      <w:r w:rsidR="00024BBE" w:rsidRPr="00C901F8">
        <w:rPr>
          <w:color w:val="auto"/>
        </w:rPr>
        <w:t>Through which mechanisms would policies impact on the indicator? What triggers (e.g. prices, command and control, persuasion) are used by policy instruments that would impact on the respective indicator? Which actors change their behavio</w:t>
      </w:r>
      <w:r w:rsidR="003D5739" w:rsidRPr="00C901F8">
        <w:rPr>
          <w:color w:val="auto"/>
        </w:rPr>
        <w:t>u</w:t>
      </w:r>
      <w:r w:rsidR="00024BBE" w:rsidRPr="00C901F8">
        <w:rPr>
          <w:color w:val="auto"/>
        </w:rPr>
        <w:t xml:space="preserve">r as a result of these policies and how does this impact on the indicator? How does this indicator relate to the </w:t>
      </w:r>
      <w:r w:rsidR="00303B2B">
        <w:rPr>
          <w:color w:val="auto"/>
        </w:rPr>
        <w:t xml:space="preserve">state of the </w:t>
      </w:r>
      <w:r w:rsidR="00024BBE" w:rsidRPr="00C901F8">
        <w:rPr>
          <w:color w:val="auto"/>
        </w:rPr>
        <w:t>environmental (ideally at the country level)? What processes are triggered by changes in the indicator and what are the impacts on the environment?</w:t>
      </w:r>
    </w:p>
    <w:p w14:paraId="0249D535" w14:textId="77777777" w:rsidR="00040722" w:rsidRPr="00C901F8" w:rsidRDefault="00D27FC2">
      <w:pPr>
        <w:pStyle w:val="ListParagraph"/>
        <w:numPr>
          <w:ilvl w:val="0"/>
          <w:numId w:val="2"/>
        </w:numPr>
      </w:pPr>
      <w:r w:rsidRPr="00C901F8">
        <w:t xml:space="preserve">Causal </w:t>
      </w:r>
      <w:r w:rsidR="00C65CD4" w:rsidRPr="00C901F8">
        <w:t>r</w:t>
      </w:r>
      <w:r w:rsidRPr="00C901F8">
        <w:t>elations/</w:t>
      </w:r>
      <w:r w:rsidR="00E13B82" w:rsidRPr="00C901F8">
        <w:t xml:space="preserve">causal </w:t>
      </w:r>
      <w:r w:rsidR="00C65CD4" w:rsidRPr="00C901F8">
        <w:t>c</w:t>
      </w:r>
      <w:r w:rsidRPr="00C901F8">
        <w:t>hain(s)</w:t>
      </w:r>
      <w:r w:rsidR="00ED3E4B" w:rsidRPr="00C901F8">
        <w:t>: policy-sensitive indicators are those for which a causal relation</w:t>
      </w:r>
      <w:r w:rsidR="00E13B82">
        <w:t>ship</w:t>
      </w:r>
      <w:r w:rsidR="00ED3E4B" w:rsidRPr="00C901F8">
        <w:t xml:space="preserve"> to policies and their implementation can be demonstrated. While attribution of causality is challenging, indicators can be selected for their responsiveness to policies as compared to other intervening factors such as </w:t>
      </w:r>
      <w:r w:rsidR="00040722" w:rsidRPr="005E6BFA">
        <w:t>sociodemographic</w:t>
      </w:r>
      <w:r w:rsidR="00ED3E4B" w:rsidRPr="00C901F8">
        <w:t xml:space="preserve"> factors, infrastructures, natural conditions, culture.</w:t>
      </w:r>
    </w:p>
    <w:p w14:paraId="6584F52B" w14:textId="4DD57240" w:rsidR="00040722" w:rsidRPr="00C901F8" w:rsidRDefault="00ED3E4B" w:rsidP="00566049">
      <w:pPr>
        <w:rPr>
          <w:color w:val="auto"/>
        </w:rPr>
      </w:pPr>
      <w:r w:rsidRPr="00C901F8">
        <w:rPr>
          <w:color w:val="auto"/>
        </w:rPr>
        <w:t xml:space="preserve">Is there any evidence showing that indicators can be associated with </w:t>
      </w:r>
      <w:r w:rsidR="0001247A" w:rsidRPr="00C901F8">
        <w:rPr>
          <w:color w:val="auto"/>
        </w:rPr>
        <w:t xml:space="preserve">these causal </w:t>
      </w:r>
      <w:r w:rsidRPr="00C901F8">
        <w:rPr>
          <w:color w:val="auto"/>
        </w:rPr>
        <w:t xml:space="preserve">output-outcome-impact chains? </w:t>
      </w:r>
      <w:r w:rsidR="00A477D0">
        <w:rPr>
          <w:color w:val="auto"/>
        </w:rPr>
        <w:t>‘</w:t>
      </w:r>
      <w:r w:rsidR="0001247A" w:rsidRPr="005E6BFA">
        <w:rPr>
          <w:color w:val="auto"/>
        </w:rPr>
        <w:t>O</w:t>
      </w:r>
      <w:r w:rsidRPr="005E6BFA">
        <w:rPr>
          <w:color w:val="auto"/>
        </w:rPr>
        <w:t>utputs</w:t>
      </w:r>
      <w:r w:rsidR="00A477D0">
        <w:rPr>
          <w:color w:val="auto"/>
        </w:rPr>
        <w:t>’</w:t>
      </w:r>
      <w:r w:rsidR="0001247A" w:rsidRPr="00A477D0">
        <w:rPr>
          <w:color w:val="auto"/>
        </w:rPr>
        <w:t xml:space="preserve"> </w:t>
      </w:r>
      <w:r w:rsidR="00A477D0">
        <w:rPr>
          <w:color w:val="auto"/>
        </w:rPr>
        <w:t>and</w:t>
      </w:r>
      <w:r w:rsidR="00A477D0" w:rsidRPr="00A477D0">
        <w:rPr>
          <w:color w:val="auto"/>
        </w:rPr>
        <w:t xml:space="preserve"> </w:t>
      </w:r>
      <w:r w:rsidR="00A477D0">
        <w:rPr>
          <w:color w:val="auto"/>
        </w:rPr>
        <w:t>‘</w:t>
      </w:r>
      <w:r w:rsidRPr="005E6BFA">
        <w:rPr>
          <w:color w:val="auto"/>
        </w:rPr>
        <w:t>outcomes</w:t>
      </w:r>
      <w:r w:rsidR="00A477D0">
        <w:rPr>
          <w:color w:val="auto"/>
        </w:rPr>
        <w:t>’</w:t>
      </w:r>
      <w:r w:rsidRPr="00A477D0">
        <w:rPr>
          <w:color w:val="auto"/>
        </w:rPr>
        <w:t xml:space="preserve"> a</w:t>
      </w:r>
      <w:r w:rsidR="0001247A" w:rsidRPr="00A477D0">
        <w:rPr>
          <w:color w:val="auto"/>
        </w:rPr>
        <w:t>re</w:t>
      </w:r>
      <w:r w:rsidRPr="00A477D0">
        <w:rPr>
          <w:color w:val="auto"/>
        </w:rPr>
        <w:t xml:space="preserve"> </w:t>
      </w:r>
      <w:r w:rsidRPr="005E6BFA">
        <w:rPr>
          <w:color w:val="auto"/>
        </w:rPr>
        <w:t>processes</w:t>
      </w:r>
      <w:r w:rsidRPr="00C901F8">
        <w:rPr>
          <w:color w:val="auto"/>
        </w:rPr>
        <w:t xml:space="preserve"> that are triggered by the policy and </w:t>
      </w:r>
      <w:r w:rsidR="00A477D0">
        <w:rPr>
          <w:color w:val="auto"/>
        </w:rPr>
        <w:t>‘</w:t>
      </w:r>
      <w:r w:rsidRPr="005E6BFA">
        <w:rPr>
          <w:color w:val="auto"/>
        </w:rPr>
        <w:t>impacts</w:t>
      </w:r>
      <w:r w:rsidR="00A477D0">
        <w:rPr>
          <w:color w:val="auto"/>
        </w:rPr>
        <w:t>’</w:t>
      </w:r>
      <w:r w:rsidRPr="00A477D0">
        <w:rPr>
          <w:color w:val="auto"/>
        </w:rPr>
        <w:t xml:space="preserve"> a</w:t>
      </w:r>
      <w:r w:rsidR="0001247A" w:rsidRPr="00A477D0">
        <w:rPr>
          <w:color w:val="auto"/>
        </w:rPr>
        <w:t>re</w:t>
      </w:r>
      <w:r w:rsidRPr="00A477D0">
        <w:rPr>
          <w:color w:val="auto"/>
        </w:rPr>
        <w:t xml:space="preserve"> the ultimate </w:t>
      </w:r>
      <w:r w:rsidRPr="005E6BFA">
        <w:rPr>
          <w:color w:val="auto"/>
        </w:rPr>
        <w:t>effects</w:t>
      </w:r>
      <w:r w:rsidRPr="00C901F8">
        <w:rPr>
          <w:color w:val="auto"/>
        </w:rPr>
        <w:t xml:space="preserve"> of a policy. I</w:t>
      </w:r>
      <w:r w:rsidR="0001247A" w:rsidRPr="00C901F8">
        <w:rPr>
          <w:color w:val="auto"/>
        </w:rPr>
        <w:t>nitial i</w:t>
      </w:r>
      <w:r w:rsidRPr="00C901F8">
        <w:rPr>
          <w:color w:val="auto"/>
        </w:rPr>
        <w:t>mpact may again trigger other processes and have indirect or secondary impacts</w:t>
      </w:r>
      <w:r w:rsidR="00303B2B">
        <w:rPr>
          <w:color w:val="auto"/>
        </w:rPr>
        <w:t xml:space="preserve"> as well</w:t>
      </w:r>
      <w:r w:rsidRPr="00C901F8">
        <w:rPr>
          <w:color w:val="auto"/>
        </w:rPr>
        <w:t>.</w:t>
      </w:r>
    </w:p>
    <w:p w14:paraId="38BE6531" w14:textId="108CEF8C" w:rsidR="00040722" w:rsidRPr="00C901F8" w:rsidRDefault="00303B2B" w:rsidP="00406184">
      <w:pPr>
        <w:pStyle w:val="ListParagraph"/>
        <w:numPr>
          <w:ilvl w:val="0"/>
          <w:numId w:val="2"/>
        </w:numPr>
      </w:pPr>
      <w:r>
        <w:t>The analysis must consider o</w:t>
      </w:r>
      <w:r w:rsidR="00024BBE" w:rsidRPr="00C901F8">
        <w:t>ther factors impacting on the indicator</w:t>
      </w:r>
      <w:r w:rsidR="007628EA" w:rsidRPr="00C901F8">
        <w:t>.</w:t>
      </w:r>
    </w:p>
    <w:p w14:paraId="7B3CC8DC" w14:textId="77777777" w:rsidR="00040722" w:rsidRPr="00C901F8" w:rsidRDefault="00024BBE" w:rsidP="00566049">
      <w:pPr>
        <w:rPr>
          <w:color w:val="auto"/>
        </w:rPr>
      </w:pPr>
      <w:r w:rsidRPr="00C901F8">
        <w:rPr>
          <w:color w:val="auto"/>
        </w:rPr>
        <w:t>Is there any evidence showing that other factors not directly or immediately affected by policies (natural conditions, infrast</w:t>
      </w:r>
      <w:r w:rsidR="00D27FC2" w:rsidRPr="00C901F8">
        <w:rPr>
          <w:color w:val="auto"/>
        </w:rPr>
        <w:t>r</w:t>
      </w:r>
      <w:r w:rsidRPr="00C901F8">
        <w:rPr>
          <w:color w:val="auto"/>
        </w:rPr>
        <w:t>uctures, cultural, natural disasters) have demonstrated an</w:t>
      </w:r>
      <w:r w:rsidR="00A477D0">
        <w:rPr>
          <w:color w:val="auto"/>
        </w:rPr>
        <w:t>y</w:t>
      </w:r>
      <w:r w:rsidRPr="00C901F8">
        <w:rPr>
          <w:color w:val="auto"/>
        </w:rPr>
        <w:t xml:space="preserve"> impact on the indicator? Are there uncertainties on causal relations</w:t>
      </w:r>
      <w:r w:rsidR="00A477D0">
        <w:rPr>
          <w:color w:val="auto"/>
        </w:rPr>
        <w:t>hips</w:t>
      </w:r>
      <w:r w:rsidRPr="00C901F8">
        <w:rPr>
          <w:color w:val="auto"/>
        </w:rPr>
        <w:t xml:space="preserve"> that affect the indicator?</w:t>
      </w:r>
    </w:p>
    <w:p w14:paraId="65F2ABBC" w14:textId="09CE8FBA" w:rsidR="00040722" w:rsidRPr="00C901F8" w:rsidRDefault="00ED3E4B" w:rsidP="00406184">
      <w:pPr>
        <w:pStyle w:val="ListParagraph"/>
        <w:numPr>
          <w:ilvl w:val="0"/>
          <w:numId w:val="2"/>
        </w:numPr>
      </w:pPr>
      <w:r w:rsidRPr="00C901F8">
        <w:t xml:space="preserve">Graphic representation and visualization: </w:t>
      </w:r>
      <w:r w:rsidR="00CA2EB0" w:rsidRPr="00C901F8">
        <w:t xml:space="preserve">for each indicator, data are presented on </w:t>
      </w:r>
      <w:r w:rsidR="00040722" w:rsidRPr="00B4619D">
        <w:t>progress</w:t>
      </w:r>
      <w:r w:rsidR="00CA2EB0" w:rsidRPr="00C901F8">
        <w:t xml:space="preserve"> towards achieving the relevant international goals as </w:t>
      </w:r>
      <w:r w:rsidR="00040722" w:rsidRPr="005E6BFA">
        <w:t>well</w:t>
      </w:r>
      <w:r w:rsidR="00CA2EB0" w:rsidRPr="00C901F8">
        <w:t xml:space="preserve"> as the development of each indicator at the country level (cross-longitudinal and </w:t>
      </w:r>
      <w:r w:rsidR="00040722" w:rsidRPr="005E6BFA">
        <w:t>cross</w:t>
      </w:r>
      <w:r w:rsidR="0091512B">
        <w:t>-</w:t>
      </w:r>
      <w:r w:rsidR="00040722" w:rsidRPr="005E6BFA">
        <w:t>section</w:t>
      </w:r>
      <w:r w:rsidR="00CA2EB0" w:rsidRPr="00C901F8">
        <w:t>al analysis).</w:t>
      </w:r>
    </w:p>
    <w:p w14:paraId="29B34967" w14:textId="77777777" w:rsidR="00040722" w:rsidRPr="00C901F8" w:rsidRDefault="00ED3E4B" w:rsidP="00566049">
      <w:pPr>
        <w:rPr>
          <w:color w:val="auto"/>
        </w:rPr>
      </w:pPr>
      <w:r w:rsidRPr="00C901F8">
        <w:rPr>
          <w:color w:val="auto"/>
        </w:rPr>
        <w:t>Are there outstanding countries in terms of best performer or poor performer? Based on the previous steps a critical reflection should be undertaken: Is it possible to attribute this to policies and other factors? What are the uncertainties?</w:t>
      </w:r>
    </w:p>
    <w:p w14:paraId="5E13C2CB" w14:textId="77777777" w:rsidR="00040722" w:rsidRPr="00C901F8" w:rsidRDefault="00024BBE" w:rsidP="00406184">
      <w:pPr>
        <w:pStyle w:val="ListParagraph"/>
        <w:numPr>
          <w:ilvl w:val="0"/>
          <w:numId w:val="2"/>
        </w:numPr>
      </w:pPr>
      <w:r w:rsidRPr="00C901F8">
        <w:t>Possible alternative indicators:</w:t>
      </w:r>
      <w:r w:rsidRPr="00C901F8">
        <w:rPr>
          <w:b/>
        </w:rPr>
        <w:t xml:space="preserve"> </w:t>
      </w:r>
      <w:r w:rsidR="00CA2EB0" w:rsidRPr="00C901F8">
        <w:t>in case there are suggestions in the literature for other indicators to measure policy effectiveness for the given thematic area, these are discussed.</w:t>
      </w:r>
    </w:p>
    <w:p w14:paraId="3724BF70" w14:textId="546C7915" w:rsidR="00040722" w:rsidRPr="00C901F8" w:rsidRDefault="00024BBE" w:rsidP="00566049">
      <w:pPr>
        <w:rPr>
          <w:color w:val="auto"/>
        </w:rPr>
      </w:pPr>
      <w:r w:rsidRPr="00C901F8">
        <w:rPr>
          <w:color w:val="auto"/>
        </w:rPr>
        <w:t xml:space="preserve">Is the suitability or relevance of the indicator disputed? Are there other, alternative </w:t>
      </w:r>
      <w:r w:rsidRPr="00C901F8">
        <w:rPr>
          <w:color w:val="auto"/>
        </w:rPr>
        <w:lastRenderedPageBreak/>
        <w:t xml:space="preserve">indicators proposed to measure policy effectiveness? Why were these </w:t>
      </w:r>
      <w:r w:rsidR="00303B2B">
        <w:rPr>
          <w:color w:val="auto"/>
        </w:rPr>
        <w:t xml:space="preserve">not considered in the </w:t>
      </w:r>
      <w:r w:rsidRPr="00C901F8">
        <w:rPr>
          <w:color w:val="auto"/>
        </w:rPr>
        <w:t>analysis?</w:t>
      </w:r>
    </w:p>
    <w:p w14:paraId="17D0EF6D" w14:textId="77777777" w:rsidR="00040722" w:rsidRPr="00C901F8" w:rsidRDefault="00CA2EB0" w:rsidP="00566049">
      <w:pPr>
        <w:rPr>
          <w:color w:val="auto"/>
        </w:rPr>
      </w:pPr>
      <w:r w:rsidRPr="00C901F8">
        <w:rPr>
          <w:color w:val="auto"/>
        </w:rPr>
        <w:t>The indicator-based assessment of policy</w:t>
      </w:r>
      <w:r w:rsidR="00A477D0">
        <w:rPr>
          <w:color w:val="auto"/>
        </w:rPr>
        <w:t>-</w:t>
      </w:r>
      <w:r w:rsidRPr="00C901F8">
        <w:rPr>
          <w:color w:val="auto"/>
        </w:rPr>
        <w:t>sensitive indicators described above does</w:t>
      </w:r>
      <w:r w:rsidR="00A477D0">
        <w:rPr>
          <w:color w:val="auto"/>
        </w:rPr>
        <w:t xml:space="preserve"> </w:t>
      </w:r>
      <w:r w:rsidRPr="00C901F8">
        <w:rPr>
          <w:color w:val="auto"/>
        </w:rPr>
        <w:t>n</w:t>
      </w:r>
      <w:r w:rsidR="00A477D0">
        <w:rPr>
          <w:color w:val="auto"/>
        </w:rPr>
        <w:t>o</w:t>
      </w:r>
      <w:r w:rsidRPr="00C901F8">
        <w:rPr>
          <w:color w:val="auto"/>
        </w:rPr>
        <w:t>t aim for comprehensiveness: i</w:t>
      </w:r>
      <w:r w:rsidR="00DE194B" w:rsidRPr="00C901F8">
        <w:rPr>
          <w:color w:val="auto"/>
        </w:rPr>
        <w:t>t is certainly not possible to cover all indicators and all aspe</w:t>
      </w:r>
      <w:r w:rsidRPr="00C901F8">
        <w:rPr>
          <w:color w:val="auto"/>
        </w:rPr>
        <w:t>cts for all the thematic areas and cross-cutting issues. T</w:t>
      </w:r>
      <w:r w:rsidR="00DE194B" w:rsidRPr="00C901F8">
        <w:rPr>
          <w:color w:val="auto"/>
        </w:rPr>
        <w:t xml:space="preserve">his very partial coverage </w:t>
      </w:r>
      <w:r w:rsidRPr="00C901F8">
        <w:rPr>
          <w:color w:val="auto"/>
        </w:rPr>
        <w:t xml:space="preserve">is acknowledged, </w:t>
      </w:r>
      <w:r w:rsidR="00DE194B" w:rsidRPr="00C901F8">
        <w:rPr>
          <w:color w:val="auto"/>
        </w:rPr>
        <w:t xml:space="preserve">and further efforts are needed in future GEOs </w:t>
      </w:r>
      <w:r w:rsidRPr="00C901F8">
        <w:rPr>
          <w:color w:val="auto"/>
        </w:rPr>
        <w:t>to improve the coverage.</w:t>
      </w:r>
      <w:bookmarkStart w:id="15" w:name="_4d34og8" w:colFirst="0" w:colLast="0"/>
      <w:bookmarkEnd w:id="15"/>
    </w:p>
    <w:p w14:paraId="457DE3DE" w14:textId="77777777" w:rsidR="00040722" w:rsidRPr="00C901F8" w:rsidRDefault="00024BBE" w:rsidP="00AE59CD">
      <w:pPr>
        <w:pStyle w:val="Heading2"/>
      </w:pPr>
      <w:bookmarkStart w:id="16" w:name="_2s8eyo1" w:colFirst="0" w:colLast="0"/>
      <w:bookmarkStart w:id="17" w:name="_Toc511749739"/>
      <w:bookmarkEnd w:id="16"/>
      <w:r w:rsidRPr="00C901F8">
        <w:t>Content of Part B</w:t>
      </w:r>
      <w:bookmarkEnd w:id="17"/>
    </w:p>
    <w:p w14:paraId="099B8921" w14:textId="7354872B" w:rsidR="00040722" w:rsidRDefault="00024BBE" w:rsidP="00566049">
      <w:pPr>
        <w:rPr>
          <w:color w:val="auto"/>
        </w:rPr>
      </w:pPr>
      <w:r w:rsidRPr="00C901F8">
        <w:rPr>
          <w:color w:val="auto"/>
        </w:rPr>
        <w:t xml:space="preserve">The remainder of </w:t>
      </w:r>
      <w:r w:rsidR="00A477D0">
        <w:rPr>
          <w:color w:val="auto"/>
        </w:rPr>
        <w:t>Part</w:t>
      </w:r>
      <w:r w:rsidR="00254B61">
        <w:rPr>
          <w:color w:val="auto"/>
        </w:rPr>
        <w:t xml:space="preserve"> B</w:t>
      </w:r>
      <w:r w:rsidR="00A477D0" w:rsidRPr="00C901F8">
        <w:rPr>
          <w:color w:val="auto"/>
        </w:rPr>
        <w:t xml:space="preserve"> </w:t>
      </w:r>
      <w:r w:rsidRPr="00C901F8">
        <w:rPr>
          <w:color w:val="auto"/>
        </w:rPr>
        <w:t xml:space="preserve">reflects these top-down and bottom-up approaches, with </w:t>
      </w:r>
      <w:r w:rsidR="00B821F5" w:rsidRPr="00C901F8">
        <w:rPr>
          <w:color w:val="auto"/>
        </w:rPr>
        <w:t xml:space="preserve">Chapter </w:t>
      </w:r>
      <w:r w:rsidR="00C65CD4" w:rsidRPr="00C901F8">
        <w:rPr>
          <w:color w:val="auto"/>
        </w:rPr>
        <w:t>11</w:t>
      </w:r>
      <w:r w:rsidR="00B821F5" w:rsidRPr="00C901F8">
        <w:rPr>
          <w:color w:val="auto"/>
        </w:rPr>
        <w:t>, based on literature, focusing on issue</w:t>
      </w:r>
      <w:r w:rsidR="0001247A" w:rsidRPr="00C901F8">
        <w:rPr>
          <w:color w:val="auto"/>
        </w:rPr>
        <w:t>s</w:t>
      </w:r>
      <w:r w:rsidR="00B821F5" w:rsidRPr="00C901F8">
        <w:rPr>
          <w:color w:val="auto"/>
        </w:rPr>
        <w:t xml:space="preserve"> of policy design, spatial and temporal policy diffusion and evolution</w:t>
      </w:r>
      <w:r w:rsidR="00A477D0">
        <w:rPr>
          <w:color w:val="auto"/>
        </w:rPr>
        <w:t>,</w:t>
      </w:r>
      <w:r w:rsidR="00B821F5" w:rsidRPr="00C901F8">
        <w:rPr>
          <w:color w:val="auto"/>
        </w:rPr>
        <w:t xml:space="preserve"> and the effectiveness of international and multi-level governance. </w:t>
      </w:r>
      <w:r w:rsidRPr="00C901F8">
        <w:rPr>
          <w:color w:val="auto"/>
        </w:rPr>
        <w:t xml:space="preserve">Chapters </w:t>
      </w:r>
      <w:r w:rsidR="00C65CD4" w:rsidRPr="00C901F8">
        <w:rPr>
          <w:color w:val="auto"/>
        </w:rPr>
        <w:t>12</w:t>
      </w:r>
      <w:r w:rsidRPr="00C901F8">
        <w:rPr>
          <w:color w:val="auto"/>
        </w:rPr>
        <w:t>-</w:t>
      </w:r>
      <w:r w:rsidR="00C65CD4" w:rsidRPr="00C901F8">
        <w:rPr>
          <w:color w:val="auto"/>
        </w:rPr>
        <w:t>17</w:t>
      </w:r>
      <w:r w:rsidRPr="00C901F8">
        <w:rPr>
          <w:color w:val="auto"/>
        </w:rPr>
        <w:t xml:space="preserve"> cover the key policy approaches mentioned in Part A of the report, under the </w:t>
      </w:r>
      <w:r w:rsidR="00040722" w:rsidRPr="00C901F8">
        <w:rPr>
          <w:color w:val="auto"/>
        </w:rPr>
        <w:t>‘</w:t>
      </w:r>
      <w:r w:rsidRPr="00C901F8">
        <w:rPr>
          <w:color w:val="auto"/>
        </w:rPr>
        <w:t>responses</w:t>
      </w:r>
      <w:r w:rsidR="00040722" w:rsidRPr="00C901F8">
        <w:rPr>
          <w:color w:val="auto"/>
        </w:rPr>
        <w:t>’</w:t>
      </w:r>
      <w:r w:rsidRPr="00C901F8">
        <w:rPr>
          <w:color w:val="auto"/>
        </w:rPr>
        <w:t xml:space="preserve"> section of the DPSIR framework.</w:t>
      </w:r>
      <w:r w:rsidR="00040722" w:rsidRPr="005E6BFA">
        <w:rPr>
          <w:color w:val="auto"/>
        </w:rPr>
        <w:t xml:space="preserve"> </w:t>
      </w:r>
      <w:r w:rsidRPr="00C901F8">
        <w:rPr>
          <w:color w:val="auto"/>
        </w:rPr>
        <w:t xml:space="preserve">For each of these key policy approaches, a case </w:t>
      </w:r>
      <w:r w:rsidR="00254B61">
        <w:rPr>
          <w:color w:val="auto"/>
        </w:rPr>
        <w:t xml:space="preserve">study </w:t>
      </w:r>
      <w:r w:rsidRPr="00C901F8">
        <w:rPr>
          <w:color w:val="auto"/>
        </w:rPr>
        <w:t xml:space="preserve">is used to exemplify the application of the policy approach in a specific </w:t>
      </w:r>
      <w:r w:rsidR="00254B61">
        <w:rPr>
          <w:color w:val="auto"/>
        </w:rPr>
        <w:t>context</w:t>
      </w:r>
      <w:r w:rsidRPr="00C901F8">
        <w:rPr>
          <w:color w:val="auto"/>
        </w:rPr>
        <w:t>. Policy</w:t>
      </w:r>
      <w:r w:rsidR="00A477D0">
        <w:rPr>
          <w:color w:val="auto"/>
        </w:rPr>
        <w:t>-</w:t>
      </w:r>
      <w:r w:rsidRPr="00C901F8">
        <w:rPr>
          <w:color w:val="auto"/>
        </w:rPr>
        <w:t xml:space="preserve">sensitive indicators for each thematic area and cross-cutting issue are also included in these </w:t>
      </w:r>
      <w:r w:rsidR="00A477D0">
        <w:rPr>
          <w:color w:val="auto"/>
        </w:rPr>
        <w:t>six</w:t>
      </w:r>
      <w:r w:rsidR="00A477D0" w:rsidRPr="00C901F8">
        <w:rPr>
          <w:color w:val="auto"/>
        </w:rPr>
        <w:t xml:space="preserve"> </w:t>
      </w:r>
      <w:r w:rsidRPr="00C901F8">
        <w:rPr>
          <w:color w:val="auto"/>
        </w:rPr>
        <w:t>chapters.</w:t>
      </w:r>
      <w:r w:rsidR="00E503B3" w:rsidRPr="00C901F8">
        <w:rPr>
          <w:color w:val="auto"/>
        </w:rPr>
        <w:t xml:space="preserve"> </w:t>
      </w:r>
      <w:r w:rsidRPr="00C901F8">
        <w:rPr>
          <w:color w:val="auto"/>
        </w:rPr>
        <w:t xml:space="preserve">Chapter </w:t>
      </w:r>
      <w:r w:rsidR="00C65CD4" w:rsidRPr="00C901F8">
        <w:rPr>
          <w:color w:val="auto"/>
        </w:rPr>
        <w:t>18</w:t>
      </w:r>
      <w:r w:rsidRPr="00C901F8">
        <w:rPr>
          <w:color w:val="auto"/>
        </w:rPr>
        <w:t xml:space="preserve"> draws conclusions and key messages </w:t>
      </w:r>
      <w:r w:rsidR="0091512B">
        <w:rPr>
          <w:color w:val="auto"/>
        </w:rPr>
        <w:t xml:space="preserve">for Part B </w:t>
      </w:r>
      <w:r w:rsidRPr="00C901F8">
        <w:rPr>
          <w:color w:val="auto"/>
        </w:rPr>
        <w:t xml:space="preserve">and provides guidance for </w:t>
      </w:r>
      <w:r w:rsidR="00040722" w:rsidRPr="005E6BFA">
        <w:rPr>
          <w:color w:val="auto"/>
        </w:rPr>
        <w:t>policymak</w:t>
      </w:r>
      <w:r w:rsidRPr="00C901F8">
        <w:rPr>
          <w:color w:val="auto"/>
        </w:rPr>
        <w:t>ers</w:t>
      </w:r>
      <w:r w:rsidR="00C65CD4" w:rsidRPr="00C901F8">
        <w:rPr>
          <w:color w:val="auto"/>
        </w:rPr>
        <w:t xml:space="preserve"> and the link to Part C</w:t>
      </w:r>
      <w:r w:rsidR="00254B61">
        <w:rPr>
          <w:color w:val="auto"/>
        </w:rPr>
        <w:t xml:space="preserve"> of the report</w:t>
      </w:r>
      <w:r w:rsidRPr="00C901F8">
        <w:rPr>
          <w:color w:val="auto"/>
        </w:rPr>
        <w:t>.</w:t>
      </w:r>
    </w:p>
    <w:p w14:paraId="2EE8636C" w14:textId="77777777" w:rsidR="000460FB" w:rsidRPr="00C901F8" w:rsidRDefault="000460FB" w:rsidP="00566049">
      <w:pPr>
        <w:rPr>
          <w:color w:val="auto"/>
        </w:rPr>
      </w:pPr>
    </w:p>
    <w:p w14:paraId="243AF510" w14:textId="77777777" w:rsidR="00BF0177" w:rsidRPr="00C901F8" w:rsidRDefault="00BF0177" w:rsidP="00566049">
      <w:pPr>
        <w:rPr>
          <w:color w:val="auto"/>
        </w:rPr>
        <w:sectPr w:rsidR="00BF0177" w:rsidRPr="00C901F8" w:rsidSect="00140B4A">
          <w:pgSz w:w="11907" w:h="16839"/>
          <w:pgMar w:top="1440" w:right="1440" w:bottom="1440" w:left="1440" w:header="720" w:footer="720" w:gutter="0"/>
          <w:cols w:space="720"/>
          <w:docGrid w:linePitch="326"/>
        </w:sectPr>
      </w:pPr>
      <w:bookmarkStart w:id="18" w:name="_17dp8vu" w:colFirst="0" w:colLast="0"/>
      <w:bookmarkEnd w:id="18"/>
    </w:p>
    <w:p w14:paraId="04D81D97" w14:textId="77777777" w:rsidR="00040722" w:rsidRPr="00C901F8" w:rsidRDefault="00024BBE" w:rsidP="00254B61">
      <w:pPr>
        <w:pStyle w:val="Heading2"/>
        <w:numPr>
          <w:ilvl w:val="0"/>
          <w:numId w:val="0"/>
        </w:numPr>
        <w:ind w:left="720" w:hanging="720"/>
      </w:pPr>
      <w:bookmarkStart w:id="19" w:name="_Toc511749740"/>
      <w:r w:rsidRPr="00C901F8">
        <w:lastRenderedPageBreak/>
        <w:t>References</w:t>
      </w:r>
      <w:bookmarkEnd w:id="19"/>
    </w:p>
    <w:p w14:paraId="064B708B" w14:textId="7EAA162B" w:rsidR="00263195" w:rsidRPr="00D2194A" w:rsidRDefault="00263195" w:rsidP="00263195">
      <w:pPr>
        <w:autoSpaceDE w:val="0"/>
        <w:autoSpaceDN w:val="0"/>
        <w:adjustRightInd w:val="0"/>
        <w:spacing w:after="0" w:line="240" w:lineRule="auto"/>
        <w:rPr>
          <w:rFonts w:ascii="Segoe UI" w:hAnsi="Segoe UI" w:cs="Segoe UI"/>
          <w:sz w:val="18"/>
          <w:szCs w:val="18"/>
        </w:rPr>
      </w:pPr>
      <w:proofErr w:type="spellStart"/>
      <w:r w:rsidRPr="00D2194A">
        <w:rPr>
          <w:rFonts w:ascii="Segoe UI" w:hAnsi="Segoe UI" w:cs="Segoe UI"/>
          <w:sz w:val="18"/>
          <w:szCs w:val="18"/>
        </w:rPr>
        <w:t>Bauler</w:t>
      </w:r>
      <w:proofErr w:type="spellEnd"/>
      <w:r w:rsidRPr="00D2194A">
        <w:rPr>
          <w:rFonts w:ascii="Segoe UI" w:hAnsi="Segoe UI" w:cs="Segoe UI"/>
          <w:sz w:val="18"/>
          <w:szCs w:val="18"/>
        </w:rPr>
        <w:t xml:space="preserve">, T. (2012). An analytical framework to discuss the usability of (environmental) indicators for policy. </w:t>
      </w:r>
      <w:r w:rsidRPr="00D2194A">
        <w:rPr>
          <w:rFonts w:ascii="Segoe UI" w:hAnsi="Segoe UI" w:cs="Segoe UI"/>
          <w:i/>
          <w:iCs/>
          <w:sz w:val="18"/>
          <w:szCs w:val="18"/>
        </w:rPr>
        <w:t>Ecological Indicators</w:t>
      </w:r>
      <w:r w:rsidRPr="00D2194A">
        <w:rPr>
          <w:rFonts w:ascii="Segoe UI" w:hAnsi="Segoe UI" w:cs="Segoe UI"/>
          <w:sz w:val="18"/>
          <w:szCs w:val="18"/>
        </w:rPr>
        <w:t xml:space="preserve"> 17, 38-45. </w:t>
      </w:r>
      <w:hyperlink r:id="rId12" w:history="1">
        <w:r w:rsidR="00EC27F4" w:rsidRPr="003D09EF">
          <w:rPr>
            <w:rStyle w:val="Hyperlink"/>
            <w:rFonts w:ascii="Segoe UI" w:hAnsi="Segoe UI" w:cs="Segoe UI"/>
            <w:sz w:val="18"/>
            <w:szCs w:val="18"/>
          </w:rPr>
          <w:t>https://doi.org/10.1016/j.ecolind.2011.05.013</w:t>
        </w:r>
      </w:hyperlink>
      <w:r w:rsidRPr="00D2194A">
        <w:rPr>
          <w:rFonts w:ascii="Segoe UI" w:hAnsi="Segoe UI" w:cs="Segoe UI"/>
          <w:sz w:val="18"/>
          <w:szCs w:val="18"/>
        </w:rPr>
        <w:t>.</w:t>
      </w:r>
      <w:r w:rsidR="00EC27F4">
        <w:rPr>
          <w:rFonts w:ascii="Segoe UI" w:hAnsi="Segoe UI" w:cs="Segoe UI"/>
          <w:sz w:val="18"/>
          <w:szCs w:val="18"/>
        </w:rPr>
        <w:t xml:space="preserve"> </w:t>
      </w:r>
    </w:p>
    <w:p w14:paraId="17294A55"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26155D72" w14:textId="3CD2713C"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Blamey, A. and Mackenzie, M. (2007). Theories of change and realistic evaluation: Peas in a pod or apples and oranges? </w:t>
      </w:r>
      <w:r w:rsidRPr="00D2194A">
        <w:rPr>
          <w:rFonts w:ascii="Segoe UI" w:hAnsi="Segoe UI" w:cs="Segoe UI"/>
          <w:i/>
          <w:iCs/>
          <w:sz w:val="18"/>
          <w:szCs w:val="18"/>
        </w:rPr>
        <w:t>Evaluation</w:t>
      </w:r>
      <w:r w:rsidRPr="00D2194A">
        <w:rPr>
          <w:rFonts w:ascii="Segoe UI" w:hAnsi="Segoe UI" w:cs="Segoe UI"/>
          <w:sz w:val="18"/>
          <w:szCs w:val="18"/>
        </w:rPr>
        <w:t xml:space="preserve"> 13(4), 439-455. </w:t>
      </w:r>
      <w:hyperlink r:id="rId13" w:history="1">
        <w:r w:rsidR="00EC27F4" w:rsidRPr="003D09EF">
          <w:rPr>
            <w:rStyle w:val="Hyperlink"/>
            <w:rFonts w:ascii="Segoe UI" w:hAnsi="Segoe UI" w:cs="Segoe UI"/>
            <w:sz w:val="18"/>
            <w:szCs w:val="18"/>
          </w:rPr>
          <w:t>https://doi.org/10.1177/1356389007082129</w:t>
        </w:r>
      </w:hyperlink>
      <w:r w:rsidRPr="00D2194A">
        <w:rPr>
          <w:rFonts w:ascii="Segoe UI" w:hAnsi="Segoe UI" w:cs="Segoe UI"/>
          <w:sz w:val="18"/>
          <w:szCs w:val="18"/>
        </w:rPr>
        <w:t>.</w:t>
      </w:r>
      <w:r w:rsidR="00EC27F4">
        <w:rPr>
          <w:rFonts w:ascii="Segoe UI" w:hAnsi="Segoe UI" w:cs="Segoe UI"/>
          <w:sz w:val="18"/>
          <w:szCs w:val="18"/>
        </w:rPr>
        <w:t xml:space="preserve"> </w:t>
      </w:r>
    </w:p>
    <w:p w14:paraId="1CAEAB98"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73F99D23" w14:textId="6D137808" w:rsidR="00263195" w:rsidRPr="00D2194A" w:rsidRDefault="00263195" w:rsidP="00263195">
      <w:pPr>
        <w:autoSpaceDE w:val="0"/>
        <w:autoSpaceDN w:val="0"/>
        <w:adjustRightInd w:val="0"/>
        <w:spacing w:after="0" w:line="240" w:lineRule="auto"/>
        <w:rPr>
          <w:rFonts w:ascii="Segoe UI" w:hAnsi="Segoe UI" w:cs="Segoe UI"/>
          <w:sz w:val="18"/>
          <w:szCs w:val="18"/>
        </w:rPr>
      </w:pPr>
      <w:proofErr w:type="spellStart"/>
      <w:r w:rsidRPr="00D2194A">
        <w:rPr>
          <w:rFonts w:ascii="Segoe UI" w:hAnsi="Segoe UI" w:cs="Segoe UI"/>
          <w:sz w:val="18"/>
          <w:szCs w:val="18"/>
        </w:rPr>
        <w:t>Boersema</w:t>
      </w:r>
      <w:proofErr w:type="spellEnd"/>
      <w:r w:rsidRPr="00D2194A">
        <w:rPr>
          <w:rFonts w:ascii="Segoe UI" w:hAnsi="Segoe UI" w:cs="Segoe UI"/>
          <w:sz w:val="18"/>
          <w:szCs w:val="18"/>
        </w:rPr>
        <w:t xml:space="preserve">, J. and </w:t>
      </w:r>
      <w:proofErr w:type="spellStart"/>
      <w:r w:rsidRPr="00D2194A">
        <w:rPr>
          <w:rFonts w:ascii="Segoe UI" w:hAnsi="Segoe UI" w:cs="Segoe UI"/>
          <w:sz w:val="18"/>
          <w:szCs w:val="18"/>
        </w:rPr>
        <w:t>Reijnders</w:t>
      </w:r>
      <w:proofErr w:type="spellEnd"/>
      <w:r w:rsidRPr="00D2194A">
        <w:rPr>
          <w:rFonts w:ascii="Segoe UI" w:hAnsi="Segoe UI" w:cs="Segoe UI"/>
          <w:sz w:val="18"/>
          <w:szCs w:val="18"/>
        </w:rPr>
        <w:t xml:space="preserve">, L. (eds.) (2009). </w:t>
      </w:r>
      <w:r w:rsidRPr="00D2194A">
        <w:rPr>
          <w:rFonts w:ascii="Segoe UI" w:hAnsi="Segoe UI" w:cs="Segoe UI"/>
          <w:i/>
          <w:iCs/>
          <w:sz w:val="18"/>
          <w:szCs w:val="18"/>
        </w:rPr>
        <w:t>Principles of Environmental Sciences</w:t>
      </w:r>
      <w:r w:rsidRPr="00D2194A">
        <w:rPr>
          <w:rFonts w:ascii="Segoe UI" w:hAnsi="Segoe UI" w:cs="Segoe UI"/>
          <w:sz w:val="18"/>
          <w:szCs w:val="18"/>
        </w:rPr>
        <w:t xml:space="preserve">. Dordrecht: Springer. </w:t>
      </w:r>
      <w:hyperlink r:id="rId14" w:anchor="about" w:history="1">
        <w:r w:rsidR="00EC27F4" w:rsidRPr="003D09EF">
          <w:rPr>
            <w:rStyle w:val="Hyperlink"/>
            <w:rFonts w:ascii="Segoe UI" w:hAnsi="Segoe UI" w:cs="Segoe UI"/>
            <w:sz w:val="18"/>
            <w:szCs w:val="18"/>
          </w:rPr>
          <w:t>https://link.springer.com/book/10.1007/978-1-4020-9158-2#about</w:t>
        </w:r>
      </w:hyperlink>
      <w:r w:rsidRPr="00D2194A">
        <w:rPr>
          <w:rFonts w:ascii="Segoe UI" w:hAnsi="Segoe UI" w:cs="Segoe UI"/>
          <w:sz w:val="18"/>
          <w:szCs w:val="18"/>
        </w:rPr>
        <w:t>.</w:t>
      </w:r>
      <w:r w:rsidR="00EC27F4">
        <w:rPr>
          <w:rFonts w:ascii="Segoe UI" w:hAnsi="Segoe UI" w:cs="Segoe UI"/>
          <w:sz w:val="18"/>
          <w:szCs w:val="18"/>
        </w:rPr>
        <w:t xml:space="preserve"> </w:t>
      </w:r>
    </w:p>
    <w:p w14:paraId="4A0E4D63"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21BBAA9B" w14:textId="7F4391FC" w:rsidR="00263195" w:rsidRPr="00D2194A" w:rsidRDefault="00263195" w:rsidP="00263195">
      <w:pPr>
        <w:autoSpaceDE w:val="0"/>
        <w:autoSpaceDN w:val="0"/>
        <w:adjustRightInd w:val="0"/>
        <w:spacing w:after="0" w:line="240" w:lineRule="auto"/>
        <w:rPr>
          <w:rFonts w:ascii="Segoe UI" w:hAnsi="Segoe UI" w:cs="Segoe UI"/>
          <w:sz w:val="18"/>
          <w:szCs w:val="18"/>
        </w:rPr>
      </w:pPr>
      <w:proofErr w:type="spellStart"/>
      <w:r w:rsidRPr="00D2194A">
        <w:rPr>
          <w:rFonts w:ascii="Segoe UI" w:hAnsi="Segoe UI" w:cs="Segoe UI"/>
          <w:sz w:val="18"/>
          <w:szCs w:val="18"/>
        </w:rPr>
        <w:t>Challies</w:t>
      </w:r>
      <w:proofErr w:type="spellEnd"/>
      <w:r w:rsidRPr="00D2194A">
        <w:rPr>
          <w:rFonts w:ascii="Segoe UI" w:hAnsi="Segoe UI" w:cs="Segoe UI"/>
          <w:sz w:val="18"/>
          <w:szCs w:val="18"/>
        </w:rPr>
        <w:t xml:space="preserve">, E., </w:t>
      </w:r>
      <w:proofErr w:type="spellStart"/>
      <w:r w:rsidRPr="00D2194A">
        <w:rPr>
          <w:rFonts w:ascii="Segoe UI" w:hAnsi="Segoe UI" w:cs="Segoe UI"/>
          <w:sz w:val="18"/>
          <w:szCs w:val="18"/>
        </w:rPr>
        <w:t>Newig</w:t>
      </w:r>
      <w:proofErr w:type="spellEnd"/>
      <w:r w:rsidRPr="00D2194A">
        <w:rPr>
          <w:rFonts w:ascii="Segoe UI" w:hAnsi="Segoe UI" w:cs="Segoe UI"/>
          <w:sz w:val="18"/>
          <w:szCs w:val="18"/>
        </w:rPr>
        <w:t xml:space="preserve">, J., </w:t>
      </w:r>
      <w:proofErr w:type="spellStart"/>
      <w:r w:rsidRPr="00D2194A">
        <w:rPr>
          <w:rFonts w:ascii="Segoe UI" w:hAnsi="Segoe UI" w:cs="Segoe UI"/>
          <w:sz w:val="18"/>
          <w:szCs w:val="18"/>
        </w:rPr>
        <w:t>Kochskämper</w:t>
      </w:r>
      <w:proofErr w:type="spellEnd"/>
      <w:r w:rsidRPr="00D2194A">
        <w:rPr>
          <w:rFonts w:ascii="Segoe UI" w:hAnsi="Segoe UI" w:cs="Segoe UI"/>
          <w:sz w:val="18"/>
          <w:szCs w:val="18"/>
        </w:rPr>
        <w:t xml:space="preserve">, E. and Jager, N.W. (2017). Governance change and governance learning in Europe: Stakeholder participation in environmental policy implementation. </w:t>
      </w:r>
      <w:r w:rsidRPr="00D2194A">
        <w:rPr>
          <w:rFonts w:ascii="Segoe UI" w:hAnsi="Segoe UI" w:cs="Segoe UI"/>
          <w:i/>
          <w:iCs/>
          <w:sz w:val="18"/>
          <w:szCs w:val="18"/>
        </w:rPr>
        <w:t>Policy and Society</w:t>
      </w:r>
      <w:r w:rsidRPr="00D2194A">
        <w:rPr>
          <w:rFonts w:ascii="Segoe UI" w:hAnsi="Segoe UI" w:cs="Segoe UI"/>
          <w:sz w:val="18"/>
          <w:szCs w:val="18"/>
        </w:rPr>
        <w:t xml:space="preserve"> 36(2), 288-303. </w:t>
      </w:r>
      <w:hyperlink r:id="rId15" w:history="1">
        <w:r w:rsidR="00EC27F4" w:rsidRPr="003D09EF">
          <w:rPr>
            <w:rStyle w:val="Hyperlink"/>
            <w:rFonts w:ascii="Segoe UI" w:hAnsi="Segoe UI" w:cs="Segoe UI"/>
            <w:sz w:val="18"/>
            <w:szCs w:val="18"/>
          </w:rPr>
          <w:t>https://doi.org/10.1080/14494035.2017.1320854</w:t>
        </w:r>
      </w:hyperlink>
      <w:r w:rsidR="00D2194A" w:rsidRPr="00D2194A">
        <w:rPr>
          <w:rFonts w:ascii="Segoe UI" w:hAnsi="Segoe UI" w:cs="Segoe UI"/>
          <w:sz w:val="18"/>
          <w:szCs w:val="18"/>
        </w:rPr>
        <w:t>.</w:t>
      </w:r>
      <w:r w:rsidR="00EC27F4">
        <w:rPr>
          <w:rFonts w:ascii="Segoe UI" w:hAnsi="Segoe UI" w:cs="Segoe UI"/>
          <w:sz w:val="18"/>
          <w:szCs w:val="18"/>
        </w:rPr>
        <w:t xml:space="preserve"> </w:t>
      </w:r>
    </w:p>
    <w:p w14:paraId="378CB568"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2C1819FE" w14:textId="30B3DC4D"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European </w:t>
      </w:r>
      <w:proofErr w:type="spellStart"/>
      <w:r w:rsidRPr="00D2194A">
        <w:rPr>
          <w:rFonts w:ascii="Segoe UI" w:hAnsi="Segoe UI" w:cs="Segoe UI"/>
          <w:sz w:val="18"/>
          <w:szCs w:val="18"/>
        </w:rPr>
        <w:t>Commision</w:t>
      </w:r>
      <w:proofErr w:type="spellEnd"/>
      <w:r w:rsidRPr="00D2194A">
        <w:rPr>
          <w:rFonts w:ascii="Segoe UI" w:hAnsi="Segoe UI" w:cs="Segoe UI"/>
          <w:sz w:val="18"/>
          <w:szCs w:val="18"/>
        </w:rPr>
        <w:t xml:space="preserve"> (2012). </w:t>
      </w:r>
      <w:r w:rsidRPr="00D2194A">
        <w:rPr>
          <w:rFonts w:ascii="Segoe UI" w:hAnsi="Segoe UI" w:cs="Segoe UI"/>
          <w:i/>
          <w:iCs/>
          <w:sz w:val="18"/>
          <w:szCs w:val="18"/>
        </w:rPr>
        <w:t>Assessing and Strengthening the Science and EU Environment Policy Interface.</w:t>
      </w:r>
      <w:r w:rsidRPr="00D2194A">
        <w:rPr>
          <w:rFonts w:ascii="Segoe UI" w:hAnsi="Segoe UI" w:cs="Segoe UI"/>
          <w:sz w:val="18"/>
          <w:szCs w:val="18"/>
        </w:rPr>
        <w:t xml:space="preserve"> European </w:t>
      </w:r>
      <w:proofErr w:type="spellStart"/>
      <w:r w:rsidRPr="00D2194A">
        <w:rPr>
          <w:rFonts w:ascii="Segoe UI" w:hAnsi="Segoe UI" w:cs="Segoe UI"/>
          <w:sz w:val="18"/>
          <w:szCs w:val="18"/>
        </w:rPr>
        <w:t>Commision</w:t>
      </w:r>
      <w:proofErr w:type="spellEnd"/>
      <w:r w:rsidRPr="00D2194A">
        <w:rPr>
          <w:rFonts w:ascii="Segoe UI" w:hAnsi="Segoe UI" w:cs="Segoe UI"/>
          <w:sz w:val="18"/>
          <w:szCs w:val="18"/>
        </w:rPr>
        <w:t xml:space="preserve"> </w:t>
      </w:r>
      <w:proofErr w:type="gramStart"/>
      <w:r w:rsidRPr="00D2194A">
        <w:rPr>
          <w:rFonts w:ascii="Segoe UI" w:hAnsi="Segoe UI" w:cs="Segoe UI"/>
          <w:sz w:val="18"/>
          <w:szCs w:val="18"/>
        </w:rPr>
        <w:t>https://publications.europa.eu/en/publication-detail/-/publication/a7123d5f-52ee-4f12-9d82-a59eb7d93a26</w:t>
      </w:r>
      <w:r w:rsidR="00EC27F4">
        <w:rPr>
          <w:rFonts w:ascii="Segoe UI" w:hAnsi="Segoe UI" w:cs="Segoe UI"/>
          <w:sz w:val="18"/>
          <w:szCs w:val="18"/>
        </w:rPr>
        <w:t xml:space="preserve"> </w:t>
      </w:r>
      <w:r w:rsidRPr="00D2194A">
        <w:rPr>
          <w:rFonts w:ascii="Segoe UI" w:hAnsi="Segoe UI" w:cs="Segoe UI"/>
          <w:sz w:val="18"/>
          <w:szCs w:val="18"/>
        </w:rPr>
        <w:t xml:space="preserve"> (</w:t>
      </w:r>
      <w:proofErr w:type="gramEnd"/>
      <w:r w:rsidRPr="00D2194A">
        <w:rPr>
          <w:rFonts w:ascii="Segoe UI" w:hAnsi="Segoe UI" w:cs="Segoe UI"/>
          <w:sz w:val="18"/>
          <w:szCs w:val="18"/>
        </w:rPr>
        <w:t>Downloaded: 30 October 2017)</w:t>
      </w:r>
      <w:r w:rsidR="00D2194A" w:rsidRPr="00D2194A">
        <w:rPr>
          <w:rFonts w:ascii="Segoe UI" w:hAnsi="Segoe UI" w:cs="Segoe UI"/>
          <w:sz w:val="18"/>
          <w:szCs w:val="18"/>
        </w:rPr>
        <w:t>.</w:t>
      </w:r>
    </w:p>
    <w:p w14:paraId="33A9FC7E"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1B4831BC" w14:textId="0544EC6D"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European Environment Agency (2001a). </w:t>
      </w:r>
      <w:r w:rsidRPr="00D2194A">
        <w:rPr>
          <w:rFonts w:ascii="Segoe UI" w:hAnsi="Segoe UI" w:cs="Segoe UI"/>
          <w:i/>
          <w:iCs/>
          <w:sz w:val="18"/>
          <w:szCs w:val="18"/>
        </w:rPr>
        <w:t>Reporting on Environmental Measures: Are We Being Effective?</w:t>
      </w:r>
      <w:r w:rsidRPr="00D2194A">
        <w:rPr>
          <w:rFonts w:ascii="Segoe UI" w:hAnsi="Segoe UI" w:cs="Segoe UI"/>
          <w:sz w:val="18"/>
          <w:szCs w:val="18"/>
        </w:rPr>
        <w:t xml:space="preserve"> Environmental Issue Report. Copenhagen. </w:t>
      </w:r>
      <w:hyperlink r:id="rId16" w:history="1">
        <w:r w:rsidR="00EC27F4" w:rsidRPr="003D09EF">
          <w:rPr>
            <w:rStyle w:val="Hyperlink"/>
            <w:rFonts w:ascii="Segoe UI" w:hAnsi="Segoe UI" w:cs="Segoe UI"/>
            <w:sz w:val="18"/>
            <w:szCs w:val="18"/>
          </w:rPr>
          <w:t>https://www.eea.europa.eu/publications/rem</w:t>
        </w:r>
      </w:hyperlink>
      <w:r w:rsidRPr="00D2194A">
        <w:rPr>
          <w:rFonts w:ascii="Segoe UI" w:hAnsi="Segoe UI" w:cs="Segoe UI"/>
          <w:sz w:val="18"/>
          <w:szCs w:val="18"/>
        </w:rPr>
        <w:t>.</w:t>
      </w:r>
      <w:r w:rsidR="00EC27F4">
        <w:rPr>
          <w:rFonts w:ascii="Segoe UI" w:hAnsi="Segoe UI" w:cs="Segoe UI"/>
          <w:sz w:val="18"/>
          <w:szCs w:val="18"/>
        </w:rPr>
        <w:t xml:space="preserve"> </w:t>
      </w:r>
    </w:p>
    <w:p w14:paraId="3BA8C979"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5545E812" w14:textId="68FE6DAE"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European Environment Agency (2001b). </w:t>
      </w:r>
      <w:r w:rsidRPr="00D2194A">
        <w:rPr>
          <w:rFonts w:ascii="Segoe UI" w:hAnsi="Segoe UI" w:cs="Segoe UI"/>
          <w:i/>
          <w:iCs/>
          <w:sz w:val="18"/>
          <w:szCs w:val="18"/>
        </w:rPr>
        <w:t>Paper 1: Defining Criteria for Evaluating the Effectiveness of EU Environmental Measures.</w:t>
      </w:r>
      <w:r w:rsidRPr="00D2194A">
        <w:rPr>
          <w:rFonts w:ascii="Segoe UI" w:hAnsi="Segoe UI" w:cs="Segoe UI"/>
          <w:sz w:val="18"/>
          <w:szCs w:val="18"/>
        </w:rPr>
        <w:t xml:space="preserve"> Towards a New EU Framework for Reporting on Environmental Policies and Measures. Copenhagen. </w:t>
      </w:r>
      <w:hyperlink r:id="rId17" w:history="1">
        <w:r w:rsidR="00EC27F4" w:rsidRPr="003D09EF">
          <w:rPr>
            <w:rStyle w:val="Hyperlink"/>
            <w:rFonts w:ascii="Segoe UI" w:hAnsi="Segoe UI" w:cs="Segoe UI"/>
            <w:sz w:val="18"/>
            <w:szCs w:val="18"/>
          </w:rPr>
          <w:t>https://www.eea.europa.eu/publications/rem/defining.pdf</w:t>
        </w:r>
      </w:hyperlink>
      <w:r w:rsidRPr="00D2194A">
        <w:rPr>
          <w:rFonts w:ascii="Segoe UI" w:hAnsi="Segoe UI" w:cs="Segoe UI"/>
          <w:sz w:val="18"/>
          <w:szCs w:val="18"/>
        </w:rPr>
        <w:t>.</w:t>
      </w:r>
      <w:r w:rsidR="00EC27F4">
        <w:rPr>
          <w:rFonts w:ascii="Segoe UI" w:hAnsi="Segoe UI" w:cs="Segoe UI"/>
          <w:sz w:val="18"/>
          <w:szCs w:val="18"/>
        </w:rPr>
        <w:t xml:space="preserve"> </w:t>
      </w:r>
    </w:p>
    <w:p w14:paraId="75E4CE75"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65D14920" w14:textId="7ABFF6B0"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European Environment Agency (2017). </w:t>
      </w:r>
      <w:r w:rsidRPr="00D2194A">
        <w:rPr>
          <w:rFonts w:ascii="Segoe UI" w:hAnsi="Segoe UI" w:cs="Segoe UI"/>
          <w:i/>
          <w:iCs/>
          <w:sz w:val="18"/>
          <w:szCs w:val="18"/>
        </w:rPr>
        <w:t>Perspectives on Transitions to Sustainability.</w:t>
      </w:r>
      <w:r w:rsidRPr="00D2194A">
        <w:rPr>
          <w:rFonts w:ascii="Segoe UI" w:hAnsi="Segoe UI" w:cs="Segoe UI"/>
          <w:sz w:val="18"/>
          <w:szCs w:val="18"/>
        </w:rPr>
        <w:t xml:space="preserve"> Copenhagen. </w:t>
      </w:r>
      <w:hyperlink r:id="rId18" w:history="1">
        <w:r w:rsidR="00EC27F4" w:rsidRPr="003D09EF">
          <w:rPr>
            <w:rStyle w:val="Hyperlink"/>
            <w:rFonts w:ascii="Segoe UI" w:hAnsi="Segoe UI" w:cs="Segoe UI"/>
            <w:sz w:val="18"/>
            <w:szCs w:val="18"/>
          </w:rPr>
          <w:t>https://www.eea.europa.eu/publications/perspectives-on-transitions-to-sustainability/at_download/file</w:t>
        </w:r>
      </w:hyperlink>
      <w:r w:rsidRPr="00D2194A">
        <w:rPr>
          <w:rFonts w:ascii="Segoe UI" w:hAnsi="Segoe UI" w:cs="Segoe UI"/>
          <w:sz w:val="18"/>
          <w:szCs w:val="18"/>
        </w:rPr>
        <w:t>.</w:t>
      </w:r>
      <w:r w:rsidR="00EC27F4">
        <w:rPr>
          <w:rFonts w:ascii="Segoe UI" w:hAnsi="Segoe UI" w:cs="Segoe UI"/>
          <w:sz w:val="18"/>
          <w:szCs w:val="18"/>
        </w:rPr>
        <w:t xml:space="preserve"> </w:t>
      </w:r>
    </w:p>
    <w:p w14:paraId="28EF3CC0"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7CFA4958" w14:textId="71207F5E" w:rsidR="00263195" w:rsidRPr="00D2194A" w:rsidRDefault="00263195" w:rsidP="00263195">
      <w:pPr>
        <w:autoSpaceDE w:val="0"/>
        <w:autoSpaceDN w:val="0"/>
        <w:adjustRightInd w:val="0"/>
        <w:spacing w:after="0" w:line="240" w:lineRule="auto"/>
        <w:rPr>
          <w:rFonts w:ascii="Segoe UI" w:hAnsi="Segoe UI" w:cs="Segoe UI"/>
          <w:sz w:val="18"/>
          <w:szCs w:val="18"/>
        </w:rPr>
      </w:pPr>
      <w:proofErr w:type="spellStart"/>
      <w:r w:rsidRPr="00D2194A">
        <w:rPr>
          <w:rFonts w:ascii="Segoe UI" w:hAnsi="Segoe UI" w:cs="Segoe UI"/>
          <w:sz w:val="18"/>
          <w:szCs w:val="18"/>
        </w:rPr>
        <w:t>Forss</w:t>
      </w:r>
      <w:proofErr w:type="spellEnd"/>
      <w:r w:rsidRPr="00D2194A">
        <w:rPr>
          <w:rFonts w:ascii="Segoe UI" w:hAnsi="Segoe UI" w:cs="Segoe UI"/>
          <w:sz w:val="18"/>
          <w:szCs w:val="18"/>
        </w:rPr>
        <w:t xml:space="preserve">, K., </w:t>
      </w:r>
      <w:proofErr w:type="spellStart"/>
      <w:r w:rsidRPr="00D2194A">
        <w:rPr>
          <w:rFonts w:ascii="Segoe UI" w:hAnsi="Segoe UI" w:cs="Segoe UI"/>
          <w:sz w:val="18"/>
          <w:szCs w:val="18"/>
        </w:rPr>
        <w:t>Marra</w:t>
      </w:r>
      <w:proofErr w:type="spellEnd"/>
      <w:r w:rsidRPr="00D2194A">
        <w:rPr>
          <w:rFonts w:ascii="Segoe UI" w:hAnsi="Segoe UI" w:cs="Segoe UI"/>
          <w:sz w:val="18"/>
          <w:szCs w:val="18"/>
        </w:rPr>
        <w:t xml:space="preserve">, M. and Schwartz, R. (eds.) (2011). </w:t>
      </w:r>
      <w:r w:rsidRPr="00D2194A">
        <w:rPr>
          <w:rFonts w:ascii="Segoe UI" w:hAnsi="Segoe UI" w:cs="Segoe UI"/>
          <w:i/>
          <w:iCs/>
          <w:sz w:val="18"/>
          <w:szCs w:val="18"/>
        </w:rPr>
        <w:t>Evaluating the Complex: Attribution, Contribution, and Beyond</w:t>
      </w:r>
      <w:r w:rsidRPr="00D2194A">
        <w:rPr>
          <w:rFonts w:ascii="Segoe UI" w:hAnsi="Segoe UI" w:cs="Segoe UI"/>
          <w:sz w:val="18"/>
          <w:szCs w:val="18"/>
        </w:rPr>
        <w:t>. 1</w:t>
      </w:r>
      <w:r w:rsidRPr="00D2194A">
        <w:rPr>
          <w:rFonts w:ascii="Segoe UI" w:hAnsi="Segoe UI" w:cs="Segoe UI"/>
          <w:sz w:val="18"/>
          <w:szCs w:val="18"/>
          <w:vertAlign w:val="superscript"/>
        </w:rPr>
        <w:t>st</w:t>
      </w:r>
      <w:r w:rsidRPr="00D2194A">
        <w:rPr>
          <w:rFonts w:ascii="Segoe UI" w:hAnsi="Segoe UI" w:cs="Segoe UI"/>
          <w:sz w:val="18"/>
          <w:szCs w:val="18"/>
        </w:rPr>
        <w:t xml:space="preserve"> </w:t>
      </w:r>
      <w:proofErr w:type="spellStart"/>
      <w:r w:rsidRPr="00D2194A">
        <w:rPr>
          <w:rFonts w:ascii="Segoe UI" w:hAnsi="Segoe UI" w:cs="Segoe UI"/>
          <w:sz w:val="18"/>
          <w:szCs w:val="18"/>
        </w:rPr>
        <w:t>edn</w:t>
      </w:r>
      <w:proofErr w:type="spellEnd"/>
      <w:r w:rsidRPr="00D2194A">
        <w:rPr>
          <w:rFonts w:ascii="Segoe UI" w:hAnsi="Segoe UI" w:cs="Segoe UI"/>
          <w:sz w:val="18"/>
          <w:szCs w:val="18"/>
        </w:rPr>
        <w:t xml:space="preserve"> Comparative Policy Evaluation. New Brunswick, NJ: Transaction Publishers. </w:t>
      </w:r>
      <w:hyperlink r:id="rId19" w:history="1">
        <w:r w:rsidR="00EC27F4" w:rsidRPr="003D09EF">
          <w:rPr>
            <w:rStyle w:val="Hyperlink"/>
            <w:rFonts w:ascii="Segoe UI" w:hAnsi="Segoe UI" w:cs="Segoe UI"/>
            <w:sz w:val="18"/>
            <w:szCs w:val="18"/>
          </w:rPr>
          <w:t>https://www.routledge.com/Evaluating-the-Complex-Attribution-Contribution-and-Beyond/Marra/p/book/9781138509832</w:t>
        </w:r>
      </w:hyperlink>
      <w:r w:rsidRPr="00D2194A">
        <w:rPr>
          <w:rFonts w:ascii="Segoe UI" w:hAnsi="Segoe UI" w:cs="Segoe UI"/>
          <w:sz w:val="18"/>
          <w:szCs w:val="18"/>
        </w:rPr>
        <w:t>.</w:t>
      </w:r>
      <w:r w:rsidR="00EC27F4">
        <w:rPr>
          <w:rFonts w:ascii="Segoe UI" w:hAnsi="Segoe UI" w:cs="Segoe UI"/>
          <w:sz w:val="18"/>
          <w:szCs w:val="18"/>
        </w:rPr>
        <w:t xml:space="preserve"> </w:t>
      </w:r>
    </w:p>
    <w:p w14:paraId="28DCACA2"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34D7797A" w14:textId="49171AFC"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Forsyth, T. (2005). Building deliberative public–private partnerships for waste management in Asia. </w:t>
      </w:r>
      <w:proofErr w:type="spellStart"/>
      <w:r w:rsidRPr="00D2194A">
        <w:rPr>
          <w:rFonts w:ascii="Segoe UI" w:hAnsi="Segoe UI" w:cs="Segoe UI"/>
          <w:i/>
          <w:iCs/>
          <w:sz w:val="18"/>
          <w:szCs w:val="18"/>
        </w:rPr>
        <w:t>Geoforum</w:t>
      </w:r>
      <w:proofErr w:type="spellEnd"/>
      <w:r w:rsidRPr="00D2194A">
        <w:rPr>
          <w:rFonts w:ascii="Segoe UI" w:hAnsi="Segoe UI" w:cs="Segoe UI"/>
          <w:sz w:val="18"/>
          <w:szCs w:val="18"/>
        </w:rPr>
        <w:t xml:space="preserve"> 36(4), 429-439. </w:t>
      </w:r>
      <w:hyperlink r:id="rId20" w:history="1">
        <w:r w:rsidR="00EC27F4" w:rsidRPr="003D09EF">
          <w:rPr>
            <w:rStyle w:val="Hyperlink"/>
            <w:rFonts w:ascii="Segoe UI" w:hAnsi="Segoe UI" w:cs="Segoe UI"/>
            <w:sz w:val="18"/>
            <w:szCs w:val="18"/>
          </w:rPr>
          <w:t>https://doi.org/10.1016/j.geoforum.2004.07.007</w:t>
        </w:r>
      </w:hyperlink>
      <w:r w:rsidRPr="00D2194A">
        <w:rPr>
          <w:rFonts w:ascii="Segoe UI" w:hAnsi="Segoe UI" w:cs="Segoe UI"/>
          <w:sz w:val="18"/>
          <w:szCs w:val="18"/>
        </w:rPr>
        <w:t>.</w:t>
      </w:r>
      <w:r w:rsidR="00EC27F4">
        <w:rPr>
          <w:rFonts w:ascii="Segoe UI" w:hAnsi="Segoe UI" w:cs="Segoe UI"/>
          <w:sz w:val="18"/>
          <w:szCs w:val="18"/>
        </w:rPr>
        <w:t xml:space="preserve"> </w:t>
      </w:r>
    </w:p>
    <w:p w14:paraId="495C00C1"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6995D83C" w14:textId="319D4C44" w:rsidR="00263195" w:rsidRPr="00D2194A" w:rsidRDefault="00263195" w:rsidP="00263195">
      <w:pPr>
        <w:autoSpaceDE w:val="0"/>
        <w:autoSpaceDN w:val="0"/>
        <w:adjustRightInd w:val="0"/>
        <w:spacing w:after="0" w:line="240" w:lineRule="auto"/>
        <w:rPr>
          <w:rFonts w:ascii="Segoe UI" w:hAnsi="Segoe UI" w:cs="Segoe UI"/>
          <w:sz w:val="18"/>
          <w:szCs w:val="18"/>
        </w:rPr>
      </w:pPr>
      <w:proofErr w:type="spellStart"/>
      <w:r w:rsidRPr="00D2194A">
        <w:rPr>
          <w:rFonts w:ascii="Segoe UI" w:hAnsi="Segoe UI" w:cs="Segoe UI"/>
          <w:sz w:val="18"/>
          <w:szCs w:val="18"/>
        </w:rPr>
        <w:t>Hezri</w:t>
      </w:r>
      <w:proofErr w:type="spellEnd"/>
      <w:r w:rsidRPr="00D2194A">
        <w:rPr>
          <w:rFonts w:ascii="Segoe UI" w:hAnsi="Segoe UI" w:cs="Segoe UI"/>
          <w:sz w:val="18"/>
          <w:szCs w:val="18"/>
        </w:rPr>
        <w:t xml:space="preserve">, A.A. and </w:t>
      </w:r>
      <w:proofErr w:type="spellStart"/>
      <w:r w:rsidRPr="00D2194A">
        <w:rPr>
          <w:rFonts w:ascii="Segoe UI" w:hAnsi="Segoe UI" w:cs="Segoe UI"/>
          <w:sz w:val="18"/>
          <w:szCs w:val="18"/>
        </w:rPr>
        <w:t>Dovers</w:t>
      </w:r>
      <w:proofErr w:type="spellEnd"/>
      <w:r w:rsidRPr="00D2194A">
        <w:rPr>
          <w:rFonts w:ascii="Segoe UI" w:hAnsi="Segoe UI" w:cs="Segoe UI"/>
          <w:sz w:val="18"/>
          <w:szCs w:val="18"/>
        </w:rPr>
        <w:t xml:space="preserve">, S.R. (2006). Sustainability indicators, policy and governance: Issues for ecological economics. </w:t>
      </w:r>
      <w:r w:rsidRPr="00D2194A">
        <w:rPr>
          <w:rFonts w:ascii="Segoe UI" w:hAnsi="Segoe UI" w:cs="Segoe UI"/>
          <w:i/>
          <w:iCs/>
          <w:sz w:val="18"/>
          <w:szCs w:val="18"/>
        </w:rPr>
        <w:t>Ecological Economics</w:t>
      </w:r>
      <w:r w:rsidRPr="00D2194A">
        <w:rPr>
          <w:rFonts w:ascii="Segoe UI" w:hAnsi="Segoe UI" w:cs="Segoe UI"/>
          <w:sz w:val="18"/>
          <w:szCs w:val="18"/>
        </w:rPr>
        <w:t xml:space="preserve"> 60(1), 86-99. </w:t>
      </w:r>
      <w:hyperlink r:id="rId21" w:history="1">
        <w:r w:rsidR="00EC27F4" w:rsidRPr="003D09EF">
          <w:rPr>
            <w:rStyle w:val="Hyperlink"/>
            <w:rFonts w:ascii="Segoe UI" w:hAnsi="Segoe UI" w:cs="Segoe UI"/>
            <w:sz w:val="18"/>
            <w:szCs w:val="18"/>
          </w:rPr>
          <w:t>https://doi.org/10.1016/J.ECOLECON.2005.11.019</w:t>
        </w:r>
      </w:hyperlink>
      <w:r w:rsidRPr="00D2194A">
        <w:rPr>
          <w:rFonts w:ascii="Segoe UI" w:hAnsi="Segoe UI" w:cs="Segoe UI"/>
          <w:sz w:val="18"/>
          <w:szCs w:val="18"/>
        </w:rPr>
        <w:t>.</w:t>
      </w:r>
      <w:r w:rsidR="00EC27F4">
        <w:rPr>
          <w:rFonts w:ascii="Segoe UI" w:hAnsi="Segoe UI" w:cs="Segoe UI"/>
          <w:sz w:val="18"/>
          <w:szCs w:val="18"/>
        </w:rPr>
        <w:t xml:space="preserve"> </w:t>
      </w:r>
    </w:p>
    <w:p w14:paraId="349553C2"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5FBB0AC6" w14:textId="0F37AB1B" w:rsidR="00263195" w:rsidRPr="00D2194A" w:rsidRDefault="00263195" w:rsidP="00263195">
      <w:pPr>
        <w:autoSpaceDE w:val="0"/>
        <w:autoSpaceDN w:val="0"/>
        <w:adjustRightInd w:val="0"/>
        <w:spacing w:after="0" w:line="240" w:lineRule="auto"/>
        <w:rPr>
          <w:rFonts w:ascii="Segoe UI" w:hAnsi="Segoe UI" w:cs="Segoe UI"/>
          <w:sz w:val="18"/>
          <w:szCs w:val="18"/>
        </w:rPr>
      </w:pPr>
      <w:proofErr w:type="spellStart"/>
      <w:r w:rsidRPr="00D2194A">
        <w:rPr>
          <w:rFonts w:ascii="Segoe UI" w:hAnsi="Segoe UI" w:cs="Segoe UI"/>
          <w:sz w:val="18"/>
          <w:szCs w:val="18"/>
        </w:rPr>
        <w:t>Hildén</w:t>
      </w:r>
      <w:proofErr w:type="spellEnd"/>
      <w:r w:rsidRPr="00D2194A">
        <w:rPr>
          <w:rFonts w:ascii="Segoe UI" w:hAnsi="Segoe UI" w:cs="Segoe UI"/>
          <w:sz w:val="18"/>
          <w:szCs w:val="18"/>
        </w:rPr>
        <w:t xml:space="preserve">, M., Jordan, A. and Rayner, T. (2014). Climate policy innovation: Developing an evaluation perspective. </w:t>
      </w:r>
      <w:r w:rsidRPr="00D2194A">
        <w:rPr>
          <w:rFonts w:ascii="Segoe UI" w:hAnsi="Segoe UI" w:cs="Segoe UI"/>
          <w:i/>
          <w:iCs/>
          <w:sz w:val="18"/>
          <w:szCs w:val="18"/>
        </w:rPr>
        <w:t>Environmental Politics</w:t>
      </w:r>
      <w:r w:rsidRPr="00D2194A">
        <w:rPr>
          <w:rFonts w:ascii="Segoe UI" w:hAnsi="Segoe UI" w:cs="Segoe UI"/>
          <w:sz w:val="18"/>
          <w:szCs w:val="18"/>
        </w:rPr>
        <w:t xml:space="preserve"> 23(5), 884-905. </w:t>
      </w:r>
      <w:hyperlink r:id="rId22" w:history="1">
        <w:r w:rsidR="00EC27F4" w:rsidRPr="003D09EF">
          <w:rPr>
            <w:rStyle w:val="Hyperlink"/>
            <w:rFonts w:ascii="Segoe UI" w:hAnsi="Segoe UI" w:cs="Segoe UI"/>
            <w:sz w:val="18"/>
            <w:szCs w:val="18"/>
          </w:rPr>
          <w:t>https://doi.org/10.1080/09644016.2014.924205</w:t>
        </w:r>
      </w:hyperlink>
      <w:r w:rsidRPr="00D2194A">
        <w:rPr>
          <w:rFonts w:ascii="Segoe UI" w:hAnsi="Segoe UI" w:cs="Segoe UI"/>
          <w:sz w:val="18"/>
          <w:szCs w:val="18"/>
        </w:rPr>
        <w:t>.</w:t>
      </w:r>
      <w:r w:rsidR="00EC27F4">
        <w:rPr>
          <w:rFonts w:ascii="Segoe UI" w:hAnsi="Segoe UI" w:cs="Segoe UI"/>
          <w:sz w:val="18"/>
          <w:szCs w:val="18"/>
        </w:rPr>
        <w:t xml:space="preserve"> </w:t>
      </w:r>
    </w:p>
    <w:p w14:paraId="25992AD8"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000D5CF1" w14:textId="4C33694A"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Hood, C. (2011). </w:t>
      </w:r>
      <w:r w:rsidRPr="00D2194A">
        <w:rPr>
          <w:rFonts w:ascii="Segoe UI" w:hAnsi="Segoe UI" w:cs="Segoe UI"/>
          <w:i/>
          <w:iCs/>
          <w:sz w:val="18"/>
          <w:szCs w:val="18"/>
        </w:rPr>
        <w:t>Summing up the Parts: Combining Policy Instruments for Least-Cost Climate Mitigation Strategies.</w:t>
      </w:r>
      <w:r w:rsidRPr="00D2194A">
        <w:rPr>
          <w:rFonts w:ascii="Segoe UI" w:hAnsi="Segoe UI" w:cs="Segoe UI"/>
          <w:sz w:val="18"/>
          <w:szCs w:val="18"/>
        </w:rPr>
        <w:t xml:space="preserve"> Paris: International Energy Agency. </w:t>
      </w:r>
      <w:hyperlink r:id="rId23" w:history="1">
        <w:r w:rsidR="00EC27F4" w:rsidRPr="003D09EF">
          <w:rPr>
            <w:rStyle w:val="Hyperlink"/>
            <w:rFonts w:ascii="Segoe UI" w:hAnsi="Segoe UI" w:cs="Segoe UI"/>
            <w:sz w:val="18"/>
            <w:szCs w:val="18"/>
          </w:rPr>
          <w:t>https://www.iea.org/publications/freepublications/publication/Summing_Up.pdf</w:t>
        </w:r>
      </w:hyperlink>
      <w:r w:rsidRPr="00D2194A">
        <w:rPr>
          <w:rFonts w:ascii="Segoe UI" w:hAnsi="Segoe UI" w:cs="Segoe UI"/>
          <w:sz w:val="18"/>
          <w:szCs w:val="18"/>
        </w:rPr>
        <w:t>.</w:t>
      </w:r>
      <w:r w:rsidR="00EC27F4">
        <w:rPr>
          <w:rFonts w:ascii="Segoe UI" w:hAnsi="Segoe UI" w:cs="Segoe UI"/>
          <w:sz w:val="18"/>
          <w:szCs w:val="18"/>
        </w:rPr>
        <w:t xml:space="preserve"> </w:t>
      </w:r>
    </w:p>
    <w:p w14:paraId="1BB32D12"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43D4C2C3" w14:textId="776335C5" w:rsidR="00263195" w:rsidRPr="00D2194A" w:rsidRDefault="00263195" w:rsidP="00263195">
      <w:pPr>
        <w:autoSpaceDE w:val="0"/>
        <w:autoSpaceDN w:val="0"/>
        <w:adjustRightInd w:val="0"/>
        <w:spacing w:after="0" w:line="240" w:lineRule="auto"/>
        <w:rPr>
          <w:rFonts w:ascii="Segoe UI" w:hAnsi="Segoe UI" w:cs="Segoe UI"/>
          <w:sz w:val="18"/>
          <w:szCs w:val="18"/>
        </w:rPr>
      </w:pPr>
      <w:proofErr w:type="spellStart"/>
      <w:r w:rsidRPr="00D2194A">
        <w:rPr>
          <w:rFonts w:ascii="Segoe UI" w:hAnsi="Segoe UI" w:cs="Segoe UI"/>
          <w:sz w:val="18"/>
          <w:szCs w:val="18"/>
        </w:rPr>
        <w:t>Hovi</w:t>
      </w:r>
      <w:proofErr w:type="spellEnd"/>
      <w:r w:rsidRPr="00D2194A">
        <w:rPr>
          <w:rFonts w:ascii="Segoe UI" w:hAnsi="Segoe UI" w:cs="Segoe UI"/>
          <w:sz w:val="18"/>
          <w:szCs w:val="18"/>
        </w:rPr>
        <w:t xml:space="preserve">, J., </w:t>
      </w:r>
      <w:proofErr w:type="spellStart"/>
      <w:r w:rsidRPr="00D2194A">
        <w:rPr>
          <w:rFonts w:ascii="Segoe UI" w:hAnsi="Segoe UI" w:cs="Segoe UI"/>
          <w:sz w:val="18"/>
          <w:szCs w:val="18"/>
        </w:rPr>
        <w:t>Sprinz</w:t>
      </w:r>
      <w:proofErr w:type="spellEnd"/>
      <w:r w:rsidRPr="00D2194A">
        <w:rPr>
          <w:rFonts w:ascii="Segoe UI" w:hAnsi="Segoe UI" w:cs="Segoe UI"/>
          <w:sz w:val="18"/>
          <w:szCs w:val="18"/>
        </w:rPr>
        <w:t xml:space="preserve">, D.F., </w:t>
      </w:r>
      <w:proofErr w:type="spellStart"/>
      <w:r w:rsidRPr="00D2194A">
        <w:rPr>
          <w:rFonts w:ascii="Segoe UI" w:hAnsi="Segoe UI" w:cs="Segoe UI"/>
          <w:sz w:val="18"/>
          <w:szCs w:val="18"/>
        </w:rPr>
        <w:t>Sælen</w:t>
      </w:r>
      <w:proofErr w:type="spellEnd"/>
      <w:r w:rsidRPr="00D2194A">
        <w:rPr>
          <w:rFonts w:ascii="Segoe UI" w:hAnsi="Segoe UI" w:cs="Segoe UI"/>
          <w:sz w:val="18"/>
          <w:szCs w:val="18"/>
        </w:rPr>
        <w:t xml:space="preserve">, H. and </w:t>
      </w:r>
      <w:proofErr w:type="spellStart"/>
      <w:r w:rsidRPr="00D2194A">
        <w:rPr>
          <w:rFonts w:ascii="Segoe UI" w:hAnsi="Segoe UI" w:cs="Segoe UI"/>
          <w:sz w:val="18"/>
          <w:szCs w:val="18"/>
        </w:rPr>
        <w:t>Underdal</w:t>
      </w:r>
      <w:proofErr w:type="spellEnd"/>
      <w:r w:rsidRPr="00D2194A">
        <w:rPr>
          <w:rFonts w:ascii="Segoe UI" w:hAnsi="Segoe UI" w:cs="Segoe UI"/>
          <w:sz w:val="18"/>
          <w:szCs w:val="18"/>
        </w:rPr>
        <w:t xml:space="preserve">, A. (2016). Climate change mitigation: A role for climate clubs? </w:t>
      </w:r>
      <w:r w:rsidRPr="00D2194A">
        <w:rPr>
          <w:rFonts w:ascii="Segoe UI" w:hAnsi="Segoe UI" w:cs="Segoe UI"/>
          <w:i/>
          <w:iCs/>
          <w:sz w:val="18"/>
          <w:szCs w:val="18"/>
        </w:rPr>
        <w:t>Palgrave Communications</w:t>
      </w:r>
      <w:r w:rsidRPr="00D2194A">
        <w:rPr>
          <w:rFonts w:ascii="Segoe UI" w:hAnsi="Segoe UI" w:cs="Segoe UI"/>
          <w:sz w:val="18"/>
          <w:szCs w:val="18"/>
        </w:rPr>
        <w:t xml:space="preserve"> 2(16020). </w:t>
      </w:r>
      <w:hyperlink r:id="rId24" w:history="1">
        <w:r w:rsidR="00EC27F4" w:rsidRPr="003D09EF">
          <w:rPr>
            <w:rStyle w:val="Hyperlink"/>
            <w:rFonts w:ascii="Segoe UI" w:hAnsi="Segoe UI" w:cs="Segoe UI"/>
            <w:sz w:val="18"/>
            <w:szCs w:val="18"/>
          </w:rPr>
          <w:t>https://doi.org/10.1057/palcomms.2016.20</w:t>
        </w:r>
      </w:hyperlink>
      <w:r w:rsidRPr="00D2194A">
        <w:rPr>
          <w:rFonts w:ascii="Segoe UI" w:hAnsi="Segoe UI" w:cs="Segoe UI"/>
          <w:sz w:val="18"/>
          <w:szCs w:val="18"/>
        </w:rPr>
        <w:t>.</w:t>
      </w:r>
      <w:r w:rsidR="00EC27F4">
        <w:rPr>
          <w:rFonts w:ascii="Segoe UI" w:hAnsi="Segoe UI" w:cs="Segoe UI"/>
          <w:sz w:val="18"/>
          <w:szCs w:val="18"/>
        </w:rPr>
        <w:t xml:space="preserve"> </w:t>
      </w:r>
    </w:p>
    <w:p w14:paraId="5440954B"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4CAC5203" w14:textId="1FA1C0BE"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Howlett, M. and Rayner, J. (2007). Design principles for policy mixes: Cohesion and coherence in ‘new governance </w:t>
      </w:r>
      <w:proofErr w:type="gramStart"/>
      <w:r w:rsidRPr="00D2194A">
        <w:rPr>
          <w:rFonts w:ascii="Segoe UI" w:hAnsi="Segoe UI" w:cs="Segoe UI"/>
          <w:sz w:val="18"/>
          <w:szCs w:val="18"/>
        </w:rPr>
        <w:t>arrangements’</w:t>
      </w:r>
      <w:proofErr w:type="gramEnd"/>
      <w:r w:rsidRPr="00D2194A">
        <w:rPr>
          <w:rFonts w:ascii="Segoe UI" w:hAnsi="Segoe UI" w:cs="Segoe UI"/>
          <w:sz w:val="18"/>
          <w:szCs w:val="18"/>
        </w:rPr>
        <w:t xml:space="preserve">. </w:t>
      </w:r>
      <w:r w:rsidRPr="00D2194A">
        <w:rPr>
          <w:rFonts w:ascii="Segoe UI" w:hAnsi="Segoe UI" w:cs="Segoe UI"/>
          <w:i/>
          <w:iCs/>
          <w:sz w:val="18"/>
          <w:szCs w:val="18"/>
        </w:rPr>
        <w:t>Policy and Society</w:t>
      </w:r>
      <w:r w:rsidRPr="00D2194A">
        <w:rPr>
          <w:rFonts w:ascii="Segoe UI" w:hAnsi="Segoe UI" w:cs="Segoe UI"/>
          <w:sz w:val="18"/>
          <w:szCs w:val="18"/>
        </w:rPr>
        <w:t xml:space="preserve"> 26(4), 1-18. </w:t>
      </w:r>
      <w:hyperlink r:id="rId25" w:history="1">
        <w:r w:rsidR="00EC27F4" w:rsidRPr="003D09EF">
          <w:rPr>
            <w:rStyle w:val="Hyperlink"/>
            <w:rFonts w:ascii="Segoe UI" w:hAnsi="Segoe UI" w:cs="Segoe UI"/>
            <w:sz w:val="18"/>
            <w:szCs w:val="18"/>
          </w:rPr>
          <w:t>https://doi.org/10.1016/S1449-4035(07)70118-2</w:t>
        </w:r>
      </w:hyperlink>
      <w:r w:rsidRPr="00D2194A">
        <w:rPr>
          <w:rFonts w:ascii="Segoe UI" w:hAnsi="Segoe UI" w:cs="Segoe UI"/>
          <w:sz w:val="18"/>
          <w:szCs w:val="18"/>
        </w:rPr>
        <w:t>.</w:t>
      </w:r>
      <w:r w:rsidR="00EC27F4">
        <w:rPr>
          <w:rFonts w:ascii="Segoe UI" w:hAnsi="Segoe UI" w:cs="Segoe UI"/>
          <w:sz w:val="18"/>
          <w:szCs w:val="18"/>
        </w:rPr>
        <w:t xml:space="preserve"> </w:t>
      </w:r>
    </w:p>
    <w:p w14:paraId="09D308EC"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0009F252" w14:textId="1B5FB8BC" w:rsidR="00263195" w:rsidRPr="00D2194A" w:rsidRDefault="00263195" w:rsidP="00263195">
      <w:pPr>
        <w:autoSpaceDE w:val="0"/>
        <w:autoSpaceDN w:val="0"/>
        <w:adjustRightInd w:val="0"/>
        <w:spacing w:after="0" w:line="240" w:lineRule="auto"/>
        <w:rPr>
          <w:rFonts w:ascii="Segoe UI" w:hAnsi="Segoe UI" w:cs="Segoe UI"/>
          <w:sz w:val="18"/>
          <w:szCs w:val="18"/>
        </w:rPr>
      </w:pPr>
      <w:proofErr w:type="spellStart"/>
      <w:r w:rsidRPr="00D2194A">
        <w:rPr>
          <w:rFonts w:ascii="Segoe UI" w:hAnsi="Segoe UI" w:cs="Segoe UI"/>
          <w:sz w:val="18"/>
          <w:szCs w:val="18"/>
        </w:rPr>
        <w:t>Huttunen</w:t>
      </w:r>
      <w:proofErr w:type="spellEnd"/>
      <w:r w:rsidRPr="00D2194A">
        <w:rPr>
          <w:rFonts w:ascii="Segoe UI" w:hAnsi="Segoe UI" w:cs="Segoe UI"/>
          <w:sz w:val="18"/>
          <w:szCs w:val="18"/>
        </w:rPr>
        <w:t xml:space="preserve">, S., </w:t>
      </w:r>
      <w:proofErr w:type="spellStart"/>
      <w:r w:rsidRPr="00D2194A">
        <w:rPr>
          <w:rFonts w:ascii="Segoe UI" w:hAnsi="Segoe UI" w:cs="Segoe UI"/>
          <w:sz w:val="18"/>
          <w:szCs w:val="18"/>
        </w:rPr>
        <w:t>Kivimaa</w:t>
      </w:r>
      <w:proofErr w:type="spellEnd"/>
      <w:r w:rsidRPr="00D2194A">
        <w:rPr>
          <w:rFonts w:ascii="Segoe UI" w:hAnsi="Segoe UI" w:cs="Segoe UI"/>
          <w:sz w:val="18"/>
          <w:szCs w:val="18"/>
        </w:rPr>
        <w:t xml:space="preserve">, P. and </w:t>
      </w:r>
      <w:proofErr w:type="spellStart"/>
      <w:r w:rsidRPr="00D2194A">
        <w:rPr>
          <w:rFonts w:ascii="Segoe UI" w:hAnsi="Segoe UI" w:cs="Segoe UI"/>
          <w:sz w:val="18"/>
          <w:szCs w:val="18"/>
        </w:rPr>
        <w:t>Virkamäki</w:t>
      </w:r>
      <w:proofErr w:type="spellEnd"/>
      <w:r w:rsidRPr="00D2194A">
        <w:rPr>
          <w:rFonts w:ascii="Segoe UI" w:hAnsi="Segoe UI" w:cs="Segoe UI"/>
          <w:sz w:val="18"/>
          <w:szCs w:val="18"/>
        </w:rPr>
        <w:t xml:space="preserve">, V. (2014). The need for policy coherence to trigger a transition to biogas production. </w:t>
      </w:r>
      <w:r w:rsidRPr="00D2194A">
        <w:rPr>
          <w:rFonts w:ascii="Segoe UI" w:hAnsi="Segoe UI" w:cs="Segoe UI"/>
          <w:i/>
          <w:iCs/>
          <w:sz w:val="18"/>
          <w:szCs w:val="18"/>
        </w:rPr>
        <w:t>Environmental Innovation and Societal Transitions</w:t>
      </w:r>
      <w:r w:rsidRPr="00D2194A">
        <w:rPr>
          <w:rFonts w:ascii="Segoe UI" w:hAnsi="Segoe UI" w:cs="Segoe UI"/>
          <w:sz w:val="18"/>
          <w:szCs w:val="18"/>
        </w:rPr>
        <w:t xml:space="preserve"> 12, 14-30. </w:t>
      </w:r>
      <w:hyperlink r:id="rId26" w:history="1">
        <w:r w:rsidR="00EC27F4" w:rsidRPr="003D09EF">
          <w:rPr>
            <w:rStyle w:val="Hyperlink"/>
            <w:rFonts w:ascii="Segoe UI" w:hAnsi="Segoe UI" w:cs="Segoe UI"/>
            <w:sz w:val="18"/>
            <w:szCs w:val="18"/>
          </w:rPr>
          <w:t>https://doi.org/10.1016/J.EIST.2014.04.002</w:t>
        </w:r>
      </w:hyperlink>
      <w:r w:rsidRPr="00D2194A">
        <w:rPr>
          <w:rFonts w:ascii="Segoe UI" w:hAnsi="Segoe UI" w:cs="Segoe UI"/>
          <w:sz w:val="18"/>
          <w:szCs w:val="18"/>
        </w:rPr>
        <w:t>.</w:t>
      </w:r>
      <w:r w:rsidR="00EC27F4">
        <w:rPr>
          <w:rFonts w:ascii="Segoe UI" w:hAnsi="Segoe UI" w:cs="Segoe UI"/>
          <w:sz w:val="18"/>
          <w:szCs w:val="18"/>
        </w:rPr>
        <w:t xml:space="preserve"> </w:t>
      </w:r>
    </w:p>
    <w:p w14:paraId="18A1EA31"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16A20856" w14:textId="4D12BD3F" w:rsidR="00263195" w:rsidRPr="00D2194A" w:rsidRDefault="00263195" w:rsidP="00263195">
      <w:pPr>
        <w:autoSpaceDE w:val="0"/>
        <w:autoSpaceDN w:val="0"/>
        <w:adjustRightInd w:val="0"/>
        <w:spacing w:after="0" w:line="240" w:lineRule="auto"/>
        <w:rPr>
          <w:rFonts w:ascii="Segoe UI" w:hAnsi="Segoe UI" w:cs="Segoe UI"/>
          <w:sz w:val="18"/>
          <w:szCs w:val="18"/>
        </w:rPr>
      </w:pPr>
      <w:proofErr w:type="spellStart"/>
      <w:r w:rsidRPr="00D2194A">
        <w:rPr>
          <w:rFonts w:ascii="Segoe UI" w:hAnsi="Segoe UI" w:cs="Segoe UI"/>
          <w:sz w:val="18"/>
          <w:szCs w:val="18"/>
        </w:rPr>
        <w:lastRenderedPageBreak/>
        <w:t>Interwies</w:t>
      </w:r>
      <w:proofErr w:type="spellEnd"/>
      <w:r w:rsidRPr="00D2194A">
        <w:rPr>
          <w:rFonts w:ascii="Segoe UI" w:hAnsi="Segoe UI" w:cs="Segoe UI"/>
          <w:sz w:val="18"/>
          <w:szCs w:val="18"/>
        </w:rPr>
        <w:t xml:space="preserve">, E., </w:t>
      </w:r>
      <w:proofErr w:type="spellStart"/>
      <w:r w:rsidRPr="00D2194A">
        <w:rPr>
          <w:rFonts w:ascii="Segoe UI" w:hAnsi="Segoe UI" w:cs="Segoe UI"/>
          <w:sz w:val="18"/>
          <w:szCs w:val="18"/>
        </w:rPr>
        <w:t>Görlach</w:t>
      </w:r>
      <w:proofErr w:type="spellEnd"/>
      <w:r w:rsidRPr="00D2194A">
        <w:rPr>
          <w:rFonts w:ascii="Segoe UI" w:hAnsi="Segoe UI" w:cs="Segoe UI"/>
          <w:sz w:val="18"/>
          <w:szCs w:val="18"/>
        </w:rPr>
        <w:t xml:space="preserve">, B. and Newcomb, J. (2007). Evaluating the cost-effectiveness of environmental policies: Theoretical aspirations and lessons from </w:t>
      </w:r>
      <w:proofErr w:type="spellStart"/>
      <w:r w:rsidRPr="00D2194A">
        <w:rPr>
          <w:rFonts w:ascii="Segoe UI" w:hAnsi="Segoe UI" w:cs="Segoe UI"/>
          <w:sz w:val="18"/>
          <w:szCs w:val="18"/>
        </w:rPr>
        <w:t>european</w:t>
      </w:r>
      <w:proofErr w:type="spellEnd"/>
      <w:r w:rsidRPr="00D2194A">
        <w:rPr>
          <w:rFonts w:ascii="Segoe UI" w:hAnsi="Segoe UI" w:cs="Segoe UI"/>
          <w:sz w:val="18"/>
          <w:szCs w:val="18"/>
        </w:rPr>
        <w:t xml:space="preserve"> practice for global governance. </w:t>
      </w:r>
      <w:r w:rsidRPr="00D2194A">
        <w:rPr>
          <w:rFonts w:ascii="Segoe UI" w:hAnsi="Segoe UI" w:cs="Segoe UI"/>
          <w:i/>
          <w:iCs/>
          <w:sz w:val="18"/>
          <w:szCs w:val="18"/>
        </w:rPr>
        <w:t>Amsterdam Conference on the Human Dimensions of Global Environmental Change: Earth System Governance: Theories and Strategies for Sustainability</w:t>
      </w:r>
      <w:r w:rsidRPr="00D2194A">
        <w:rPr>
          <w:rFonts w:ascii="Segoe UI" w:hAnsi="Segoe UI" w:cs="Segoe UI"/>
          <w:sz w:val="18"/>
          <w:szCs w:val="18"/>
        </w:rPr>
        <w:t xml:space="preserve">. Amsterdam, 24-26 May 2007.  </w:t>
      </w:r>
      <w:hyperlink r:id="rId27" w:history="1">
        <w:r w:rsidR="00EC27F4" w:rsidRPr="003D09EF">
          <w:rPr>
            <w:rStyle w:val="Hyperlink"/>
            <w:rFonts w:ascii="Segoe UI" w:hAnsi="Segoe UI" w:cs="Segoe UI"/>
            <w:sz w:val="18"/>
            <w:szCs w:val="18"/>
          </w:rPr>
          <w:t>http://citeseerx.ist.psu.edu/viewdoc/download?doi=10.1.1.664.6369&amp;rep=rep1&amp;type=pdf</w:t>
        </w:r>
      </w:hyperlink>
      <w:r w:rsidR="00D2194A" w:rsidRPr="00D2194A">
        <w:rPr>
          <w:rFonts w:ascii="Segoe UI" w:hAnsi="Segoe UI" w:cs="Segoe UI"/>
          <w:sz w:val="18"/>
          <w:szCs w:val="18"/>
        </w:rPr>
        <w:t>.</w:t>
      </w:r>
      <w:r w:rsidR="00EC27F4">
        <w:rPr>
          <w:rFonts w:ascii="Segoe UI" w:hAnsi="Segoe UI" w:cs="Segoe UI"/>
          <w:sz w:val="18"/>
          <w:szCs w:val="18"/>
        </w:rPr>
        <w:t xml:space="preserve"> </w:t>
      </w:r>
    </w:p>
    <w:p w14:paraId="612684A8"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1DBBF845" w14:textId="321C8988" w:rsidR="00263195" w:rsidRPr="00D2194A" w:rsidRDefault="00263195" w:rsidP="00263195">
      <w:pPr>
        <w:autoSpaceDE w:val="0"/>
        <w:autoSpaceDN w:val="0"/>
        <w:adjustRightInd w:val="0"/>
        <w:spacing w:after="0" w:line="240" w:lineRule="auto"/>
        <w:rPr>
          <w:rFonts w:ascii="Segoe UI" w:hAnsi="Segoe UI" w:cs="Segoe UI"/>
          <w:sz w:val="18"/>
          <w:szCs w:val="18"/>
        </w:rPr>
      </w:pPr>
      <w:proofErr w:type="spellStart"/>
      <w:r w:rsidRPr="00D2194A">
        <w:rPr>
          <w:rFonts w:ascii="Segoe UI" w:hAnsi="Segoe UI" w:cs="Segoe UI"/>
          <w:sz w:val="18"/>
          <w:szCs w:val="18"/>
        </w:rPr>
        <w:t>Jänicke</w:t>
      </w:r>
      <w:proofErr w:type="spellEnd"/>
      <w:r w:rsidRPr="00D2194A">
        <w:rPr>
          <w:rFonts w:ascii="Segoe UI" w:hAnsi="Segoe UI" w:cs="Segoe UI"/>
          <w:sz w:val="18"/>
          <w:szCs w:val="18"/>
        </w:rPr>
        <w:t xml:space="preserve">, M., </w:t>
      </w:r>
      <w:proofErr w:type="spellStart"/>
      <w:r w:rsidRPr="00D2194A">
        <w:rPr>
          <w:rFonts w:ascii="Segoe UI" w:hAnsi="Segoe UI" w:cs="Segoe UI"/>
          <w:sz w:val="18"/>
          <w:szCs w:val="18"/>
        </w:rPr>
        <w:t>Blazejczak</w:t>
      </w:r>
      <w:proofErr w:type="spellEnd"/>
      <w:r w:rsidRPr="00D2194A">
        <w:rPr>
          <w:rFonts w:ascii="Segoe UI" w:hAnsi="Segoe UI" w:cs="Segoe UI"/>
          <w:sz w:val="18"/>
          <w:szCs w:val="18"/>
        </w:rPr>
        <w:t xml:space="preserve">, J., </w:t>
      </w:r>
      <w:proofErr w:type="spellStart"/>
      <w:r w:rsidRPr="00D2194A">
        <w:rPr>
          <w:rFonts w:ascii="Segoe UI" w:hAnsi="Segoe UI" w:cs="Segoe UI"/>
          <w:sz w:val="18"/>
          <w:szCs w:val="18"/>
        </w:rPr>
        <w:t>Edler</w:t>
      </w:r>
      <w:proofErr w:type="spellEnd"/>
      <w:r w:rsidRPr="00D2194A">
        <w:rPr>
          <w:rFonts w:ascii="Segoe UI" w:hAnsi="Segoe UI" w:cs="Segoe UI"/>
          <w:sz w:val="18"/>
          <w:szCs w:val="18"/>
        </w:rPr>
        <w:t xml:space="preserve">, D. and </w:t>
      </w:r>
      <w:proofErr w:type="spellStart"/>
      <w:r w:rsidRPr="00D2194A">
        <w:rPr>
          <w:rFonts w:ascii="Segoe UI" w:hAnsi="Segoe UI" w:cs="Segoe UI"/>
          <w:sz w:val="18"/>
          <w:szCs w:val="18"/>
        </w:rPr>
        <w:t>Hemmelskamp</w:t>
      </w:r>
      <w:proofErr w:type="spellEnd"/>
      <w:r w:rsidRPr="00D2194A">
        <w:rPr>
          <w:rFonts w:ascii="Segoe UI" w:hAnsi="Segoe UI" w:cs="Segoe UI"/>
          <w:sz w:val="18"/>
          <w:szCs w:val="18"/>
        </w:rPr>
        <w:t xml:space="preserve">, J. (2000). Environmental policy and innovation: An international comparison of policy frameworks and innovation effects. In </w:t>
      </w:r>
      <w:r w:rsidRPr="00D2194A">
        <w:rPr>
          <w:rFonts w:ascii="Segoe UI" w:hAnsi="Segoe UI" w:cs="Segoe UI"/>
          <w:i/>
          <w:iCs/>
          <w:sz w:val="18"/>
          <w:szCs w:val="18"/>
        </w:rPr>
        <w:t>Innovation-Oriented Environmental Regulation.</w:t>
      </w:r>
      <w:r w:rsidRPr="00D2194A">
        <w:rPr>
          <w:rFonts w:ascii="Segoe UI" w:hAnsi="Segoe UI" w:cs="Segoe UI"/>
          <w:sz w:val="18"/>
          <w:szCs w:val="18"/>
        </w:rPr>
        <w:t xml:space="preserve"> </w:t>
      </w:r>
      <w:proofErr w:type="spellStart"/>
      <w:r w:rsidRPr="00D2194A">
        <w:rPr>
          <w:rFonts w:ascii="Segoe UI" w:hAnsi="Segoe UI" w:cs="Segoe UI"/>
          <w:sz w:val="18"/>
          <w:szCs w:val="18"/>
        </w:rPr>
        <w:t>Hemmelskamp</w:t>
      </w:r>
      <w:proofErr w:type="spellEnd"/>
      <w:r w:rsidRPr="00D2194A">
        <w:rPr>
          <w:rFonts w:ascii="Segoe UI" w:hAnsi="Segoe UI" w:cs="Segoe UI"/>
          <w:sz w:val="18"/>
          <w:szCs w:val="18"/>
        </w:rPr>
        <w:t xml:space="preserve">, J., </w:t>
      </w:r>
      <w:proofErr w:type="spellStart"/>
      <w:r w:rsidRPr="00D2194A">
        <w:rPr>
          <w:rFonts w:ascii="Segoe UI" w:hAnsi="Segoe UI" w:cs="Segoe UI"/>
          <w:sz w:val="18"/>
          <w:szCs w:val="18"/>
        </w:rPr>
        <w:t>Rennings</w:t>
      </w:r>
      <w:proofErr w:type="spellEnd"/>
      <w:r w:rsidRPr="00D2194A">
        <w:rPr>
          <w:rFonts w:ascii="Segoe UI" w:hAnsi="Segoe UI" w:cs="Segoe UI"/>
          <w:sz w:val="18"/>
          <w:szCs w:val="18"/>
        </w:rPr>
        <w:t xml:space="preserve">, K. and Leone, F. (eds.).  Heidelberg: Springer. 125-152. </w:t>
      </w:r>
      <w:hyperlink r:id="rId28" w:history="1">
        <w:r w:rsidR="00EC27F4" w:rsidRPr="003D09EF">
          <w:rPr>
            <w:rStyle w:val="Hyperlink"/>
            <w:rFonts w:ascii="Segoe UI" w:hAnsi="Segoe UI" w:cs="Segoe UI"/>
            <w:sz w:val="18"/>
            <w:szCs w:val="18"/>
          </w:rPr>
          <w:t>https://link.springer.com/chapter/10.1007/978-3-662-12069-9_7</w:t>
        </w:r>
      </w:hyperlink>
      <w:r w:rsidR="00EC27F4">
        <w:rPr>
          <w:rFonts w:ascii="Segoe UI" w:hAnsi="Segoe UI" w:cs="Segoe UI"/>
          <w:sz w:val="18"/>
          <w:szCs w:val="18"/>
        </w:rPr>
        <w:t xml:space="preserve"> </w:t>
      </w:r>
    </w:p>
    <w:p w14:paraId="4F302B29"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05F4914D" w14:textId="0CFC9AAB"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Jordan, A. and </w:t>
      </w:r>
      <w:proofErr w:type="spellStart"/>
      <w:r w:rsidRPr="00D2194A">
        <w:rPr>
          <w:rFonts w:ascii="Segoe UI" w:hAnsi="Segoe UI" w:cs="Segoe UI"/>
          <w:sz w:val="18"/>
          <w:szCs w:val="18"/>
        </w:rPr>
        <w:t>Huitema</w:t>
      </w:r>
      <w:proofErr w:type="spellEnd"/>
      <w:r w:rsidRPr="00D2194A">
        <w:rPr>
          <w:rFonts w:ascii="Segoe UI" w:hAnsi="Segoe UI" w:cs="Segoe UI"/>
          <w:sz w:val="18"/>
          <w:szCs w:val="18"/>
        </w:rPr>
        <w:t xml:space="preserve">, D. (2014). Innovations in climate policy: The politics of invention, diffusion, and evaluation. </w:t>
      </w:r>
      <w:r w:rsidRPr="00D2194A">
        <w:rPr>
          <w:rFonts w:ascii="Segoe UI" w:hAnsi="Segoe UI" w:cs="Segoe UI"/>
          <w:i/>
          <w:iCs/>
          <w:sz w:val="18"/>
          <w:szCs w:val="18"/>
        </w:rPr>
        <w:t>Environmental Politics</w:t>
      </w:r>
      <w:r w:rsidRPr="00D2194A">
        <w:rPr>
          <w:rFonts w:ascii="Segoe UI" w:hAnsi="Segoe UI" w:cs="Segoe UI"/>
          <w:sz w:val="18"/>
          <w:szCs w:val="18"/>
        </w:rPr>
        <w:t xml:space="preserve"> 23(5), 715-734. </w:t>
      </w:r>
      <w:hyperlink r:id="rId29" w:history="1">
        <w:r w:rsidR="00EC27F4" w:rsidRPr="003D09EF">
          <w:rPr>
            <w:rStyle w:val="Hyperlink"/>
            <w:rFonts w:ascii="Segoe UI" w:hAnsi="Segoe UI" w:cs="Segoe UI"/>
            <w:sz w:val="18"/>
            <w:szCs w:val="18"/>
          </w:rPr>
          <w:t>https://doi.org/10.1080/09644016.2014.923614</w:t>
        </w:r>
      </w:hyperlink>
      <w:r w:rsidRPr="00D2194A">
        <w:rPr>
          <w:rFonts w:ascii="Segoe UI" w:hAnsi="Segoe UI" w:cs="Segoe UI"/>
          <w:sz w:val="18"/>
          <w:szCs w:val="18"/>
        </w:rPr>
        <w:t>.</w:t>
      </w:r>
      <w:r w:rsidR="00EC27F4">
        <w:rPr>
          <w:rFonts w:ascii="Segoe UI" w:hAnsi="Segoe UI" w:cs="Segoe UI"/>
          <w:sz w:val="18"/>
          <w:szCs w:val="18"/>
        </w:rPr>
        <w:t xml:space="preserve"> </w:t>
      </w:r>
    </w:p>
    <w:p w14:paraId="1276DC71"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74F387A1" w14:textId="68A48B3E" w:rsidR="00263195" w:rsidRPr="00D2194A" w:rsidRDefault="00263195" w:rsidP="00263195">
      <w:pPr>
        <w:autoSpaceDE w:val="0"/>
        <w:autoSpaceDN w:val="0"/>
        <w:adjustRightInd w:val="0"/>
        <w:spacing w:after="0" w:line="240" w:lineRule="auto"/>
        <w:rPr>
          <w:rFonts w:ascii="Segoe UI" w:hAnsi="Segoe UI" w:cs="Segoe UI"/>
          <w:sz w:val="18"/>
          <w:szCs w:val="18"/>
        </w:rPr>
      </w:pPr>
      <w:proofErr w:type="spellStart"/>
      <w:r w:rsidRPr="00D2194A">
        <w:rPr>
          <w:rFonts w:ascii="Segoe UI" w:hAnsi="Segoe UI" w:cs="Segoe UI"/>
          <w:sz w:val="18"/>
          <w:szCs w:val="18"/>
        </w:rPr>
        <w:t>Keskitalo</w:t>
      </w:r>
      <w:proofErr w:type="spellEnd"/>
      <w:r w:rsidRPr="00D2194A">
        <w:rPr>
          <w:rFonts w:ascii="Segoe UI" w:hAnsi="Segoe UI" w:cs="Segoe UI"/>
          <w:sz w:val="18"/>
          <w:szCs w:val="18"/>
        </w:rPr>
        <w:t xml:space="preserve">, E.C.H., </w:t>
      </w:r>
      <w:proofErr w:type="spellStart"/>
      <w:r w:rsidRPr="00D2194A">
        <w:rPr>
          <w:rFonts w:ascii="Segoe UI" w:hAnsi="Segoe UI" w:cs="Segoe UI"/>
          <w:sz w:val="18"/>
          <w:szCs w:val="18"/>
        </w:rPr>
        <w:t>Juhola</w:t>
      </w:r>
      <w:proofErr w:type="spellEnd"/>
      <w:r w:rsidRPr="00D2194A">
        <w:rPr>
          <w:rFonts w:ascii="Segoe UI" w:hAnsi="Segoe UI" w:cs="Segoe UI"/>
          <w:sz w:val="18"/>
          <w:szCs w:val="18"/>
        </w:rPr>
        <w:t xml:space="preserve">, S., Baron, N., </w:t>
      </w:r>
      <w:proofErr w:type="spellStart"/>
      <w:r w:rsidRPr="00D2194A">
        <w:rPr>
          <w:rFonts w:ascii="Segoe UI" w:hAnsi="Segoe UI" w:cs="Segoe UI"/>
          <w:sz w:val="18"/>
          <w:szCs w:val="18"/>
        </w:rPr>
        <w:t>Fyhn</w:t>
      </w:r>
      <w:proofErr w:type="spellEnd"/>
      <w:r w:rsidRPr="00D2194A">
        <w:rPr>
          <w:rFonts w:ascii="Segoe UI" w:hAnsi="Segoe UI" w:cs="Segoe UI"/>
          <w:sz w:val="18"/>
          <w:szCs w:val="18"/>
        </w:rPr>
        <w:t xml:space="preserve">, H. and Klein, J. (2016). Implementing local climate change adaptation and mitigation actions: The role of various policy instruments in a multi-level governance context. </w:t>
      </w:r>
      <w:r w:rsidRPr="00D2194A">
        <w:rPr>
          <w:rFonts w:ascii="Segoe UI" w:hAnsi="Segoe UI" w:cs="Segoe UI"/>
          <w:i/>
          <w:iCs/>
          <w:sz w:val="18"/>
          <w:szCs w:val="18"/>
        </w:rPr>
        <w:t>Climate</w:t>
      </w:r>
      <w:r w:rsidRPr="00D2194A">
        <w:rPr>
          <w:rFonts w:ascii="Segoe UI" w:hAnsi="Segoe UI" w:cs="Segoe UI"/>
          <w:sz w:val="18"/>
          <w:szCs w:val="18"/>
        </w:rPr>
        <w:t xml:space="preserve"> 4(1), 7. </w:t>
      </w:r>
      <w:hyperlink r:id="rId30" w:history="1">
        <w:r w:rsidR="00EC27F4" w:rsidRPr="003D09EF">
          <w:rPr>
            <w:rStyle w:val="Hyperlink"/>
            <w:rFonts w:ascii="Segoe UI" w:hAnsi="Segoe UI" w:cs="Segoe UI"/>
            <w:sz w:val="18"/>
            <w:szCs w:val="18"/>
          </w:rPr>
          <w:t>https://doi.org/10.3390/cli4010007</w:t>
        </w:r>
      </w:hyperlink>
      <w:r w:rsidRPr="00D2194A">
        <w:rPr>
          <w:rFonts w:ascii="Segoe UI" w:hAnsi="Segoe UI" w:cs="Segoe UI"/>
          <w:sz w:val="18"/>
          <w:szCs w:val="18"/>
        </w:rPr>
        <w:t>.</w:t>
      </w:r>
      <w:r w:rsidR="00EC27F4">
        <w:rPr>
          <w:rFonts w:ascii="Segoe UI" w:hAnsi="Segoe UI" w:cs="Segoe UI"/>
          <w:sz w:val="18"/>
          <w:szCs w:val="18"/>
        </w:rPr>
        <w:t xml:space="preserve"> </w:t>
      </w:r>
    </w:p>
    <w:p w14:paraId="3DA72E9D"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51B41214" w14:textId="7007E93A" w:rsidR="00263195" w:rsidRPr="00D2194A" w:rsidRDefault="00263195" w:rsidP="00263195">
      <w:pPr>
        <w:autoSpaceDE w:val="0"/>
        <w:autoSpaceDN w:val="0"/>
        <w:adjustRightInd w:val="0"/>
        <w:spacing w:after="0" w:line="240" w:lineRule="auto"/>
        <w:rPr>
          <w:rFonts w:ascii="Segoe UI" w:hAnsi="Segoe UI" w:cs="Segoe UI"/>
          <w:sz w:val="18"/>
          <w:szCs w:val="18"/>
        </w:rPr>
      </w:pPr>
      <w:proofErr w:type="spellStart"/>
      <w:r w:rsidRPr="00D2194A">
        <w:rPr>
          <w:rFonts w:ascii="Segoe UI" w:hAnsi="Segoe UI" w:cs="Segoe UI"/>
          <w:sz w:val="18"/>
          <w:szCs w:val="18"/>
        </w:rPr>
        <w:t>Kivimaa</w:t>
      </w:r>
      <w:proofErr w:type="spellEnd"/>
      <w:r w:rsidRPr="00D2194A">
        <w:rPr>
          <w:rFonts w:ascii="Segoe UI" w:hAnsi="Segoe UI" w:cs="Segoe UI"/>
          <w:sz w:val="18"/>
          <w:szCs w:val="18"/>
        </w:rPr>
        <w:t xml:space="preserve">, P. and Kern, F. (2016). Creative destruction or mere niche support? Innovation policy mixes for sustainability transitions. </w:t>
      </w:r>
      <w:r w:rsidRPr="00D2194A">
        <w:rPr>
          <w:rFonts w:ascii="Segoe UI" w:hAnsi="Segoe UI" w:cs="Segoe UI"/>
          <w:i/>
          <w:iCs/>
          <w:sz w:val="18"/>
          <w:szCs w:val="18"/>
        </w:rPr>
        <w:t>Research Policy</w:t>
      </w:r>
      <w:r w:rsidRPr="00D2194A">
        <w:rPr>
          <w:rFonts w:ascii="Segoe UI" w:hAnsi="Segoe UI" w:cs="Segoe UI"/>
          <w:sz w:val="18"/>
          <w:szCs w:val="18"/>
        </w:rPr>
        <w:t xml:space="preserve"> 45(1), 205-217. </w:t>
      </w:r>
      <w:hyperlink r:id="rId31" w:history="1">
        <w:r w:rsidR="00EC27F4" w:rsidRPr="003D09EF">
          <w:rPr>
            <w:rStyle w:val="Hyperlink"/>
            <w:rFonts w:ascii="Segoe UI" w:hAnsi="Segoe UI" w:cs="Segoe UI"/>
            <w:sz w:val="18"/>
            <w:szCs w:val="18"/>
          </w:rPr>
          <w:t>https://doi.org/10.1016/j.respol.2015.09.008</w:t>
        </w:r>
      </w:hyperlink>
      <w:r w:rsidRPr="00D2194A">
        <w:rPr>
          <w:rFonts w:ascii="Segoe UI" w:hAnsi="Segoe UI" w:cs="Segoe UI"/>
          <w:sz w:val="18"/>
          <w:szCs w:val="18"/>
        </w:rPr>
        <w:t>.</w:t>
      </w:r>
      <w:r w:rsidR="00EC27F4">
        <w:rPr>
          <w:rFonts w:ascii="Segoe UI" w:hAnsi="Segoe UI" w:cs="Segoe UI"/>
          <w:sz w:val="18"/>
          <w:szCs w:val="18"/>
        </w:rPr>
        <w:t xml:space="preserve"> </w:t>
      </w:r>
    </w:p>
    <w:p w14:paraId="04266954"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50A369BF" w14:textId="3A797873" w:rsidR="00263195" w:rsidRPr="00D2194A" w:rsidRDefault="00263195" w:rsidP="00263195">
      <w:pPr>
        <w:autoSpaceDE w:val="0"/>
        <w:autoSpaceDN w:val="0"/>
        <w:adjustRightInd w:val="0"/>
        <w:spacing w:after="0" w:line="240" w:lineRule="auto"/>
        <w:rPr>
          <w:rFonts w:ascii="Segoe UI" w:hAnsi="Segoe UI" w:cs="Segoe UI"/>
          <w:sz w:val="18"/>
          <w:szCs w:val="18"/>
        </w:rPr>
      </w:pPr>
      <w:proofErr w:type="spellStart"/>
      <w:r w:rsidRPr="00D2194A">
        <w:rPr>
          <w:rFonts w:ascii="Segoe UI" w:hAnsi="Segoe UI" w:cs="Segoe UI"/>
          <w:sz w:val="18"/>
          <w:szCs w:val="18"/>
        </w:rPr>
        <w:t>Kochskämper</w:t>
      </w:r>
      <w:proofErr w:type="spellEnd"/>
      <w:r w:rsidRPr="00D2194A">
        <w:rPr>
          <w:rFonts w:ascii="Segoe UI" w:hAnsi="Segoe UI" w:cs="Segoe UI"/>
          <w:sz w:val="18"/>
          <w:szCs w:val="18"/>
        </w:rPr>
        <w:t xml:space="preserve">, E., </w:t>
      </w:r>
      <w:proofErr w:type="spellStart"/>
      <w:r w:rsidRPr="00D2194A">
        <w:rPr>
          <w:rFonts w:ascii="Segoe UI" w:hAnsi="Segoe UI" w:cs="Segoe UI"/>
          <w:sz w:val="18"/>
          <w:szCs w:val="18"/>
        </w:rPr>
        <w:t>Challies</w:t>
      </w:r>
      <w:proofErr w:type="spellEnd"/>
      <w:r w:rsidRPr="00D2194A">
        <w:rPr>
          <w:rFonts w:ascii="Segoe UI" w:hAnsi="Segoe UI" w:cs="Segoe UI"/>
          <w:sz w:val="18"/>
          <w:szCs w:val="18"/>
        </w:rPr>
        <w:t xml:space="preserve">, E., Jager, N.W. and </w:t>
      </w:r>
      <w:proofErr w:type="spellStart"/>
      <w:r w:rsidRPr="00D2194A">
        <w:rPr>
          <w:rFonts w:ascii="Segoe UI" w:hAnsi="Segoe UI" w:cs="Segoe UI"/>
          <w:sz w:val="18"/>
          <w:szCs w:val="18"/>
        </w:rPr>
        <w:t>Newig</w:t>
      </w:r>
      <w:proofErr w:type="spellEnd"/>
      <w:r w:rsidRPr="00D2194A">
        <w:rPr>
          <w:rFonts w:ascii="Segoe UI" w:hAnsi="Segoe UI" w:cs="Segoe UI"/>
          <w:sz w:val="18"/>
          <w:szCs w:val="18"/>
        </w:rPr>
        <w:t xml:space="preserve">, J. (eds.) (2018). </w:t>
      </w:r>
      <w:r w:rsidRPr="00D2194A">
        <w:rPr>
          <w:rFonts w:ascii="Segoe UI" w:hAnsi="Segoe UI" w:cs="Segoe UI"/>
          <w:i/>
          <w:iCs/>
          <w:sz w:val="18"/>
          <w:szCs w:val="18"/>
        </w:rPr>
        <w:t>Participation for Effective Environmental Governance: Evidence from European Water Framework Directive Implementation</w:t>
      </w:r>
      <w:r w:rsidRPr="00D2194A">
        <w:rPr>
          <w:rFonts w:ascii="Segoe UI" w:hAnsi="Segoe UI" w:cs="Segoe UI"/>
          <w:sz w:val="18"/>
          <w:szCs w:val="18"/>
        </w:rPr>
        <w:t xml:space="preserve">. London: Routledge. </w:t>
      </w:r>
      <w:hyperlink r:id="rId32" w:history="1">
        <w:r w:rsidR="00EC27F4" w:rsidRPr="003D09EF">
          <w:rPr>
            <w:rStyle w:val="Hyperlink"/>
            <w:rFonts w:ascii="Segoe UI" w:hAnsi="Segoe UI" w:cs="Segoe UI"/>
            <w:sz w:val="18"/>
            <w:szCs w:val="18"/>
          </w:rPr>
          <w:t>https://www.routledge.com/Participation-for-Effective-Environmental-Governance-Evidence-from-European/Kochskamper-Challies-Jager-Newig/p/book/9781138713291</w:t>
        </w:r>
      </w:hyperlink>
      <w:r w:rsidRPr="00D2194A">
        <w:rPr>
          <w:rFonts w:ascii="Segoe UI" w:hAnsi="Segoe UI" w:cs="Segoe UI"/>
          <w:sz w:val="18"/>
          <w:szCs w:val="18"/>
        </w:rPr>
        <w:t>.</w:t>
      </w:r>
      <w:r w:rsidR="00EC27F4">
        <w:rPr>
          <w:rFonts w:ascii="Segoe UI" w:hAnsi="Segoe UI" w:cs="Segoe UI"/>
          <w:sz w:val="18"/>
          <w:szCs w:val="18"/>
        </w:rPr>
        <w:t xml:space="preserve"> </w:t>
      </w:r>
    </w:p>
    <w:p w14:paraId="281CA100"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6D5943F4" w14:textId="6EFFD763" w:rsidR="00263195" w:rsidRPr="00D2194A" w:rsidRDefault="00263195" w:rsidP="00263195">
      <w:pPr>
        <w:autoSpaceDE w:val="0"/>
        <w:autoSpaceDN w:val="0"/>
        <w:adjustRightInd w:val="0"/>
        <w:spacing w:after="0" w:line="240" w:lineRule="auto"/>
        <w:rPr>
          <w:rFonts w:ascii="Segoe UI" w:hAnsi="Segoe UI" w:cs="Segoe UI"/>
          <w:sz w:val="18"/>
          <w:szCs w:val="18"/>
        </w:rPr>
      </w:pPr>
      <w:proofErr w:type="spellStart"/>
      <w:r w:rsidRPr="00D2194A">
        <w:rPr>
          <w:rFonts w:ascii="Segoe UI" w:hAnsi="Segoe UI" w:cs="Segoe UI"/>
          <w:sz w:val="18"/>
          <w:szCs w:val="18"/>
        </w:rPr>
        <w:t>Lambin</w:t>
      </w:r>
      <w:proofErr w:type="spellEnd"/>
      <w:r w:rsidRPr="00D2194A">
        <w:rPr>
          <w:rFonts w:ascii="Segoe UI" w:hAnsi="Segoe UI" w:cs="Segoe UI"/>
          <w:sz w:val="18"/>
          <w:szCs w:val="18"/>
        </w:rPr>
        <w:t xml:space="preserve">, E.F., </w:t>
      </w:r>
      <w:proofErr w:type="spellStart"/>
      <w:r w:rsidRPr="00D2194A">
        <w:rPr>
          <w:rFonts w:ascii="Segoe UI" w:hAnsi="Segoe UI" w:cs="Segoe UI"/>
          <w:sz w:val="18"/>
          <w:szCs w:val="18"/>
        </w:rPr>
        <w:t>Meyfroidt</w:t>
      </w:r>
      <w:proofErr w:type="spellEnd"/>
      <w:r w:rsidRPr="00D2194A">
        <w:rPr>
          <w:rFonts w:ascii="Segoe UI" w:hAnsi="Segoe UI" w:cs="Segoe UI"/>
          <w:sz w:val="18"/>
          <w:szCs w:val="18"/>
        </w:rPr>
        <w:t xml:space="preserve">, P., Rueda, X., Blackman, A., </w:t>
      </w:r>
      <w:proofErr w:type="spellStart"/>
      <w:r w:rsidRPr="00D2194A">
        <w:rPr>
          <w:rFonts w:ascii="Segoe UI" w:hAnsi="Segoe UI" w:cs="Segoe UI"/>
          <w:sz w:val="18"/>
          <w:szCs w:val="18"/>
        </w:rPr>
        <w:t>Börner</w:t>
      </w:r>
      <w:proofErr w:type="spellEnd"/>
      <w:r w:rsidRPr="00D2194A">
        <w:rPr>
          <w:rFonts w:ascii="Segoe UI" w:hAnsi="Segoe UI" w:cs="Segoe UI"/>
          <w:sz w:val="18"/>
          <w:szCs w:val="18"/>
        </w:rPr>
        <w:t xml:space="preserve">, J., </w:t>
      </w:r>
      <w:proofErr w:type="spellStart"/>
      <w:r w:rsidRPr="00D2194A">
        <w:rPr>
          <w:rFonts w:ascii="Segoe UI" w:hAnsi="Segoe UI" w:cs="Segoe UI"/>
          <w:sz w:val="18"/>
          <w:szCs w:val="18"/>
        </w:rPr>
        <w:t>Cerutti</w:t>
      </w:r>
      <w:proofErr w:type="spellEnd"/>
      <w:r w:rsidRPr="00D2194A">
        <w:rPr>
          <w:rFonts w:ascii="Segoe UI" w:hAnsi="Segoe UI" w:cs="Segoe UI"/>
          <w:sz w:val="18"/>
          <w:szCs w:val="18"/>
        </w:rPr>
        <w:t>, P.O.</w:t>
      </w:r>
      <w:r w:rsidRPr="00D2194A">
        <w:rPr>
          <w:rFonts w:ascii="Segoe UI" w:hAnsi="Segoe UI" w:cs="Segoe UI"/>
          <w:i/>
          <w:iCs/>
          <w:sz w:val="18"/>
          <w:szCs w:val="18"/>
        </w:rPr>
        <w:t xml:space="preserve"> et al.</w:t>
      </w:r>
      <w:r w:rsidRPr="00D2194A">
        <w:rPr>
          <w:rFonts w:ascii="Segoe UI" w:hAnsi="Segoe UI" w:cs="Segoe UI"/>
          <w:sz w:val="18"/>
          <w:szCs w:val="18"/>
        </w:rPr>
        <w:t xml:space="preserve"> (2014). Effectiveness and synergies of policy instruments for land use governance in tropical regions. </w:t>
      </w:r>
      <w:r w:rsidRPr="00D2194A">
        <w:rPr>
          <w:rFonts w:ascii="Segoe UI" w:hAnsi="Segoe UI" w:cs="Segoe UI"/>
          <w:i/>
          <w:iCs/>
          <w:sz w:val="18"/>
          <w:szCs w:val="18"/>
        </w:rPr>
        <w:t>Global Environmental Change</w:t>
      </w:r>
      <w:r w:rsidRPr="00D2194A">
        <w:rPr>
          <w:rFonts w:ascii="Segoe UI" w:hAnsi="Segoe UI" w:cs="Segoe UI"/>
          <w:sz w:val="18"/>
          <w:szCs w:val="18"/>
        </w:rPr>
        <w:t xml:space="preserve"> 28, 129-140. </w:t>
      </w:r>
      <w:hyperlink r:id="rId33" w:history="1">
        <w:r w:rsidR="00EC27F4" w:rsidRPr="003D09EF">
          <w:rPr>
            <w:rStyle w:val="Hyperlink"/>
            <w:rFonts w:ascii="Segoe UI" w:hAnsi="Segoe UI" w:cs="Segoe UI"/>
            <w:sz w:val="18"/>
            <w:szCs w:val="18"/>
          </w:rPr>
          <w:t>https://doi.org/10.1016/j.gloenvcha.2014.06.007</w:t>
        </w:r>
      </w:hyperlink>
      <w:r w:rsidRPr="00D2194A">
        <w:rPr>
          <w:rFonts w:ascii="Segoe UI" w:hAnsi="Segoe UI" w:cs="Segoe UI"/>
          <w:sz w:val="18"/>
          <w:szCs w:val="18"/>
        </w:rPr>
        <w:t>.</w:t>
      </w:r>
      <w:r w:rsidR="00EC27F4">
        <w:rPr>
          <w:rFonts w:ascii="Segoe UI" w:hAnsi="Segoe UI" w:cs="Segoe UI"/>
          <w:sz w:val="18"/>
          <w:szCs w:val="18"/>
        </w:rPr>
        <w:t xml:space="preserve"> </w:t>
      </w:r>
    </w:p>
    <w:p w14:paraId="1490E85F"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162F3A63" w14:textId="65EA5FF7"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Lay, J., Brandi, C., Upendra Das, R., Klein, R., Thiele, R., Alexander, N.</w:t>
      </w:r>
      <w:r w:rsidRPr="00D2194A">
        <w:rPr>
          <w:rFonts w:ascii="Segoe UI" w:hAnsi="Segoe UI" w:cs="Segoe UI"/>
          <w:i/>
          <w:iCs/>
          <w:sz w:val="18"/>
          <w:szCs w:val="18"/>
        </w:rPr>
        <w:t xml:space="preserve"> et al.</w:t>
      </w:r>
      <w:r w:rsidRPr="00D2194A">
        <w:rPr>
          <w:rFonts w:ascii="Segoe UI" w:hAnsi="Segoe UI" w:cs="Segoe UI"/>
          <w:sz w:val="18"/>
          <w:szCs w:val="18"/>
        </w:rPr>
        <w:t xml:space="preserve"> (2017). </w:t>
      </w:r>
      <w:r w:rsidRPr="00D2194A">
        <w:rPr>
          <w:rFonts w:ascii="Segoe UI" w:hAnsi="Segoe UI" w:cs="Segoe UI"/>
          <w:i/>
          <w:iCs/>
          <w:sz w:val="18"/>
          <w:szCs w:val="18"/>
        </w:rPr>
        <w:t>Coherent G20 Policies Towards the 2030 Agenda for Sustainable Development.</w:t>
      </w:r>
      <w:r w:rsidRPr="00D2194A">
        <w:rPr>
          <w:rFonts w:ascii="Segoe UI" w:hAnsi="Segoe UI" w:cs="Segoe UI"/>
          <w:sz w:val="18"/>
          <w:szCs w:val="18"/>
        </w:rPr>
        <w:t xml:space="preserve"> G20 Insights. </w:t>
      </w:r>
      <w:hyperlink r:id="rId34" w:history="1">
        <w:r w:rsidR="00EC27F4" w:rsidRPr="003D09EF">
          <w:rPr>
            <w:rStyle w:val="Hyperlink"/>
            <w:rFonts w:ascii="Segoe UI" w:hAnsi="Segoe UI" w:cs="Segoe UI"/>
            <w:sz w:val="18"/>
            <w:szCs w:val="18"/>
          </w:rPr>
          <w:t>http://www.g20-insights.org/wp-content/uploads/2017/03/TF_2030_Agenda_PolicyCoherence.pdf</w:t>
        </w:r>
      </w:hyperlink>
      <w:r w:rsidRPr="00D2194A">
        <w:rPr>
          <w:rFonts w:ascii="Segoe UI" w:hAnsi="Segoe UI" w:cs="Segoe UI"/>
          <w:sz w:val="18"/>
          <w:szCs w:val="18"/>
        </w:rPr>
        <w:t>.</w:t>
      </w:r>
      <w:r w:rsidR="00EC27F4">
        <w:rPr>
          <w:rFonts w:ascii="Segoe UI" w:hAnsi="Segoe UI" w:cs="Segoe UI"/>
          <w:sz w:val="18"/>
          <w:szCs w:val="18"/>
        </w:rPr>
        <w:t xml:space="preserve"> </w:t>
      </w:r>
    </w:p>
    <w:p w14:paraId="2CDFB272"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1CCD8806" w14:textId="17180907" w:rsidR="00263195" w:rsidRPr="00D2194A" w:rsidRDefault="00263195" w:rsidP="00263195">
      <w:pPr>
        <w:autoSpaceDE w:val="0"/>
        <w:autoSpaceDN w:val="0"/>
        <w:adjustRightInd w:val="0"/>
        <w:spacing w:after="0" w:line="240" w:lineRule="auto"/>
        <w:rPr>
          <w:rFonts w:ascii="Segoe UI" w:hAnsi="Segoe UI" w:cs="Segoe UI"/>
          <w:sz w:val="18"/>
          <w:szCs w:val="18"/>
        </w:rPr>
      </w:pPr>
      <w:proofErr w:type="spellStart"/>
      <w:r w:rsidRPr="00D2194A">
        <w:rPr>
          <w:rFonts w:ascii="Segoe UI" w:hAnsi="Segoe UI" w:cs="Segoe UI"/>
          <w:sz w:val="18"/>
          <w:szCs w:val="18"/>
        </w:rPr>
        <w:t>Mees</w:t>
      </w:r>
      <w:proofErr w:type="spellEnd"/>
      <w:r w:rsidRPr="00D2194A">
        <w:rPr>
          <w:rFonts w:ascii="Segoe UI" w:hAnsi="Segoe UI" w:cs="Segoe UI"/>
          <w:sz w:val="18"/>
          <w:szCs w:val="18"/>
        </w:rPr>
        <w:t xml:space="preserve">, H., </w:t>
      </w:r>
      <w:proofErr w:type="spellStart"/>
      <w:r w:rsidRPr="00D2194A">
        <w:rPr>
          <w:rFonts w:ascii="Segoe UI" w:hAnsi="Segoe UI" w:cs="Segoe UI"/>
          <w:sz w:val="18"/>
          <w:szCs w:val="18"/>
        </w:rPr>
        <w:t>Crabbé</w:t>
      </w:r>
      <w:proofErr w:type="spellEnd"/>
      <w:r w:rsidRPr="00D2194A">
        <w:rPr>
          <w:rFonts w:ascii="Segoe UI" w:hAnsi="Segoe UI" w:cs="Segoe UI"/>
          <w:sz w:val="18"/>
          <w:szCs w:val="18"/>
        </w:rPr>
        <w:t>, A. and Driessen, P.P.J. (2017). Conditions for citizen co-production in a resilient, efficient and legitimate flood risk governance arrangement. A tentative framework.</w:t>
      </w:r>
      <w:r w:rsidR="00D2194A" w:rsidRPr="00D2194A">
        <w:rPr>
          <w:rFonts w:ascii="Segoe UI" w:hAnsi="Segoe UI" w:cs="Segoe UI"/>
          <w:sz w:val="18"/>
          <w:szCs w:val="18"/>
        </w:rPr>
        <w:t xml:space="preserve"> </w:t>
      </w:r>
      <w:r w:rsidRPr="00D2194A">
        <w:rPr>
          <w:rFonts w:ascii="Segoe UI" w:hAnsi="Segoe UI" w:cs="Segoe UI"/>
          <w:sz w:val="18"/>
          <w:szCs w:val="18"/>
        </w:rPr>
        <w:t xml:space="preserve"> </w:t>
      </w:r>
      <w:r w:rsidRPr="00D2194A">
        <w:rPr>
          <w:rFonts w:ascii="Segoe UI" w:hAnsi="Segoe UI" w:cs="Segoe UI"/>
          <w:i/>
          <w:iCs/>
          <w:sz w:val="18"/>
          <w:szCs w:val="18"/>
        </w:rPr>
        <w:t>Journal of Environmental Policy &amp; Planning</w:t>
      </w:r>
      <w:r w:rsidRPr="00D2194A">
        <w:rPr>
          <w:rFonts w:ascii="Segoe UI" w:hAnsi="Segoe UI" w:cs="Segoe UI"/>
          <w:sz w:val="18"/>
          <w:szCs w:val="18"/>
        </w:rPr>
        <w:t xml:space="preserve"> 19(6), 827-842. </w:t>
      </w:r>
      <w:hyperlink r:id="rId35" w:history="1">
        <w:r w:rsidR="00EC27F4" w:rsidRPr="003D09EF">
          <w:rPr>
            <w:rStyle w:val="Hyperlink"/>
            <w:rFonts w:ascii="Segoe UI" w:hAnsi="Segoe UI" w:cs="Segoe UI"/>
            <w:sz w:val="18"/>
            <w:szCs w:val="18"/>
          </w:rPr>
          <w:t>https://doi.org/10.1080/1523908X.2017.1299623</w:t>
        </w:r>
      </w:hyperlink>
      <w:r w:rsidRPr="00D2194A">
        <w:rPr>
          <w:rFonts w:ascii="Segoe UI" w:hAnsi="Segoe UI" w:cs="Segoe UI"/>
          <w:sz w:val="18"/>
          <w:szCs w:val="18"/>
        </w:rPr>
        <w:t>.</w:t>
      </w:r>
      <w:r w:rsidR="00EC27F4">
        <w:rPr>
          <w:rFonts w:ascii="Segoe UI" w:hAnsi="Segoe UI" w:cs="Segoe UI"/>
          <w:sz w:val="18"/>
          <w:szCs w:val="18"/>
        </w:rPr>
        <w:t xml:space="preserve"> </w:t>
      </w:r>
    </w:p>
    <w:p w14:paraId="13E80208"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46A2BB0E"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roofErr w:type="spellStart"/>
      <w:r w:rsidRPr="00D2194A">
        <w:rPr>
          <w:rFonts w:ascii="Segoe UI" w:hAnsi="Segoe UI" w:cs="Segoe UI"/>
          <w:sz w:val="18"/>
          <w:szCs w:val="18"/>
        </w:rPr>
        <w:t>Mees</w:t>
      </w:r>
      <w:proofErr w:type="spellEnd"/>
      <w:r w:rsidRPr="00D2194A">
        <w:rPr>
          <w:rFonts w:ascii="Segoe UI" w:hAnsi="Segoe UI" w:cs="Segoe UI"/>
          <w:sz w:val="18"/>
          <w:szCs w:val="18"/>
        </w:rPr>
        <w:t xml:space="preserve">, H., Dijk, J., van </w:t>
      </w:r>
      <w:proofErr w:type="spellStart"/>
      <w:r w:rsidRPr="00D2194A">
        <w:rPr>
          <w:rFonts w:ascii="Segoe UI" w:hAnsi="Segoe UI" w:cs="Segoe UI"/>
          <w:sz w:val="18"/>
          <w:szCs w:val="18"/>
        </w:rPr>
        <w:t>Soest</w:t>
      </w:r>
      <w:proofErr w:type="spellEnd"/>
      <w:r w:rsidRPr="00D2194A">
        <w:rPr>
          <w:rFonts w:ascii="Segoe UI" w:hAnsi="Segoe UI" w:cs="Segoe UI"/>
          <w:sz w:val="18"/>
          <w:szCs w:val="18"/>
        </w:rPr>
        <w:t xml:space="preserve">, D., Driessen, P., van </w:t>
      </w:r>
      <w:proofErr w:type="spellStart"/>
      <w:r w:rsidRPr="00D2194A">
        <w:rPr>
          <w:rFonts w:ascii="Segoe UI" w:hAnsi="Segoe UI" w:cs="Segoe UI"/>
          <w:sz w:val="18"/>
          <w:szCs w:val="18"/>
        </w:rPr>
        <w:t>Rijswick</w:t>
      </w:r>
      <w:proofErr w:type="spellEnd"/>
      <w:r w:rsidRPr="00D2194A">
        <w:rPr>
          <w:rFonts w:ascii="Segoe UI" w:hAnsi="Segoe UI" w:cs="Segoe UI"/>
          <w:sz w:val="18"/>
          <w:szCs w:val="18"/>
        </w:rPr>
        <w:t xml:space="preserve">, M. and </w:t>
      </w:r>
      <w:proofErr w:type="spellStart"/>
      <w:r w:rsidRPr="00D2194A">
        <w:rPr>
          <w:rFonts w:ascii="Segoe UI" w:hAnsi="Segoe UI" w:cs="Segoe UI"/>
          <w:sz w:val="18"/>
          <w:szCs w:val="18"/>
        </w:rPr>
        <w:t>Runhaar</w:t>
      </w:r>
      <w:proofErr w:type="spellEnd"/>
      <w:r w:rsidRPr="00D2194A">
        <w:rPr>
          <w:rFonts w:ascii="Segoe UI" w:hAnsi="Segoe UI" w:cs="Segoe UI"/>
          <w:sz w:val="18"/>
          <w:szCs w:val="18"/>
        </w:rPr>
        <w:t xml:space="preserve">, H. (2014). A method for the deliberate and deliberative selection of policy instrument mixes for climate change adaptation. </w:t>
      </w:r>
      <w:r w:rsidRPr="00D2194A">
        <w:rPr>
          <w:rFonts w:ascii="Segoe UI" w:hAnsi="Segoe UI" w:cs="Segoe UI"/>
          <w:i/>
          <w:iCs/>
          <w:sz w:val="18"/>
          <w:szCs w:val="18"/>
        </w:rPr>
        <w:t>Ecology and Society</w:t>
      </w:r>
      <w:r w:rsidRPr="00D2194A">
        <w:rPr>
          <w:rFonts w:ascii="Segoe UI" w:hAnsi="Segoe UI" w:cs="Segoe UI"/>
          <w:sz w:val="18"/>
          <w:szCs w:val="18"/>
        </w:rPr>
        <w:t xml:space="preserve"> 19(2). http://dx.doi.org/10.5751/ES-06639-190258.</w:t>
      </w:r>
    </w:p>
    <w:p w14:paraId="6BEEF33B"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48F614E5" w14:textId="3D0C6A04" w:rsidR="00263195" w:rsidRPr="00D2194A" w:rsidRDefault="00263195" w:rsidP="00263195">
      <w:pPr>
        <w:autoSpaceDE w:val="0"/>
        <w:autoSpaceDN w:val="0"/>
        <w:adjustRightInd w:val="0"/>
        <w:spacing w:after="0" w:line="240" w:lineRule="auto"/>
        <w:rPr>
          <w:rFonts w:ascii="Segoe UI" w:hAnsi="Segoe UI" w:cs="Segoe UI"/>
          <w:sz w:val="18"/>
          <w:szCs w:val="18"/>
        </w:rPr>
      </w:pPr>
      <w:proofErr w:type="spellStart"/>
      <w:r w:rsidRPr="00D2194A">
        <w:rPr>
          <w:rFonts w:ascii="Segoe UI" w:hAnsi="Segoe UI" w:cs="Segoe UI"/>
          <w:sz w:val="18"/>
          <w:szCs w:val="18"/>
        </w:rPr>
        <w:t>Moldan</w:t>
      </w:r>
      <w:proofErr w:type="spellEnd"/>
      <w:r w:rsidRPr="00D2194A">
        <w:rPr>
          <w:rFonts w:ascii="Segoe UI" w:hAnsi="Segoe UI" w:cs="Segoe UI"/>
          <w:sz w:val="18"/>
          <w:szCs w:val="18"/>
        </w:rPr>
        <w:t xml:space="preserve">, B., </w:t>
      </w:r>
      <w:proofErr w:type="spellStart"/>
      <w:r w:rsidRPr="00D2194A">
        <w:rPr>
          <w:rFonts w:ascii="Segoe UI" w:hAnsi="Segoe UI" w:cs="Segoe UI"/>
          <w:sz w:val="18"/>
          <w:szCs w:val="18"/>
        </w:rPr>
        <w:t>Janoušková</w:t>
      </w:r>
      <w:proofErr w:type="spellEnd"/>
      <w:r w:rsidRPr="00D2194A">
        <w:rPr>
          <w:rFonts w:ascii="Segoe UI" w:hAnsi="Segoe UI" w:cs="Segoe UI"/>
          <w:sz w:val="18"/>
          <w:szCs w:val="18"/>
        </w:rPr>
        <w:t xml:space="preserve">, S. and </w:t>
      </w:r>
      <w:proofErr w:type="spellStart"/>
      <w:r w:rsidRPr="00D2194A">
        <w:rPr>
          <w:rFonts w:ascii="Segoe UI" w:hAnsi="Segoe UI" w:cs="Segoe UI"/>
          <w:sz w:val="18"/>
          <w:szCs w:val="18"/>
        </w:rPr>
        <w:t>Hák</w:t>
      </w:r>
      <w:proofErr w:type="spellEnd"/>
      <w:r w:rsidRPr="00D2194A">
        <w:rPr>
          <w:rFonts w:ascii="Segoe UI" w:hAnsi="Segoe UI" w:cs="Segoe UI"/>
          <w:sz w:val="18"/>
          <w:szCs w:val="18"/>
        </w:rPr>
        <w:t xml:space="preserve">, T. (2012). How to understand and measure environmental sustainability: Indicators and targets. </w:t>
      </w:r>
      <w:r w:rsidRPr="00D2194A">
        <w:rPr>
          <w:rFonts w:ascii="Segoe UI" w:hAnsi="Segoe UI" w:cs="Segoe UI"/>
          <w:i/>
          <w:iCs/>
          <w:sz w:val="18"/>
          <w:szCs w:val="18"/>
        </w:rPr>
        <w:t>Ecological Indicators</w:t>
      </w:r>
      <w:r w:rsidRPr="00D2194A">
        <w:rPr>
          <w:rFonts w:ascii="Segoe UI" w:hAnsi="Segoe UI" w:cs="Segoe UI"/>
          <w:sz w:val="18"/>
          <w:szCs w:val="18"/>
        </w:rPr>
        <w:t xml:space="preserve"> 17, 4-13. </w:t>
      </w:r>
      <w:hyperlink r:id="rId36" w:history="1">
        <w:r w:rsidR="00EC27F4" w:rsidRPr="003D09EF">
          <w:rPr>
            <w:rStyle w:val="Hyperlink"/>
            <w:rFonts w:ascii="Segoe UI" w:hAnsi="Segoe UI" w:cs="Segoe UI"/>
            <w:sz w:val="18"/>
            <w:szCs w:val="18"/>
          </w:rPr>
          <w:t>https://doi.org/10.1016/j.ecolind.2011.04.033</w:t>
        </w:r>
      </w:hyperlink>
      <w:r w:rsidRPr="00D2194A">
        <w:rPr>
          <w:rFonts w:ascii="Segoe UI" w:hAnsi="Segoe UI" w:cs="Segoe UI"/>
          <w:sz w:val="18"/>
          <w:szCs w:val="18"/>
        </w:rPr>
        <w:t>.</w:t>
      </w:r>
      <w:r w:rsidR="00EC27F4">
        <w:rPr>
          <w:rFonts w:ascii="Segoe UI" w:hAnsi="Segoe UI" w:cs="Segoe UI"/>
          <w:sz w:val="18"/>
          <w:szCs w:val="18"/>
        </w:rPr>
        <w:t xml:space="preserve"> </w:t>
      </w:r>
    </w:p>
    <w:p w14:paraId="238C75C7"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5E8F0BF0" w14:textId="2F0C42F1"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Niles, M.T. and </w:t>
      </w:r>
      <w:proofErr w:type="spellStart"/>
      <w:r w:rsidRPr="00D2194A">
        <w:rPr>
          <w:rFonts w:ascii="Segoe UI" w:hAnsi="Segoe UI" w:cs="Segoe UI"/>
          <w:sz w:val="18"/>
          <w:szCs w:val="18"/>
        </w:rPr>
        <w:t>Lubell</w:t>
      </w:r>
      <w:proofErr w:type="spellEnd"/>
      <w:r w:rsidRPr="00D2194A">
        <w:rPr>
          <w:rFonts w:ascii="Segoe UI" w:hAnsi="Segoe UI" w:cs="Segoe UI"/>
          <w:sz w:val="18"/>
          <w:szCs w:val="18"/>
        </w:rPr>
        <w:t xml:space="preserve">, M. (2012). Integrative frontiers in environmental policy theory and research. </w:t>
      </w:r>
      <w:r w:rsidRPr="00D2194A">
        <w:rPr>
          <w:rFonts w:ascii="Segoe UI" w:hAnsi="Segoe UI" w:cs="Segoe UI"/>
          <w:i/>
          <w:iCs/>
          <w:sz w:val="18"/>
          <w:szCs w:val="18"/>
        </w:rPr>
        <w:t>Policy Studies Journal</w:t>
      </w:r>
      <w:r w:rsidRPr="00D2194A">
        <w:rPr>
          <w:rFonts w:ascii="Segoe UI" w:hAnsi="Segoe UI" w:cs="Segoe UI"/>
          <w:sz w:val="18"/>
          <w:szCs w:val="18"/>
        </w:rPr>
        <w:t xml:space="preserve"> 40, 41-64. </w:t>
      </w:r>
      <w:hyperlink r:id="rId37" w:history="1">
        <w:r w:rsidR="00EC27F4" w:rsidRPr="003D09EF">
          <w:rPr>
            <w:rStyle w:val="Hyperlink"/>
            <w:rFonts w:ascii="Segoe UI" w:hAnsi="Segoe UI" w:cs="Segoe UI"/>
            <w:sz w:val="18"/>
            <w:szCs w:val="18"/>
          </w:rPr>
          <w:t>https://doi.org/10.1111/j.1541-0072.2012.00445.x</w:t>
        </w:r>
      </w:hyperlink>
      <w:r w:rsidRPr="00D2194A">
        <w:rPr>
          <w:rFonts w:ascii="Segoe UI" w:hAnsi="Segoe UI" w:cs="Segoe UI"/>
          <w:sz w:val="18"/>
          <w:szCs w:val="18"/>
        </w:rPr>
        <w:t>.</w:t>
      </w:r>
      <w:r w:rsidR="00EC27F4">
        <w:rPr>
          <w:rFonts w:ascii="Segoe UI" w:hAnsi="Segoe UI" w:cs="Segoe UI"/>
          <w:sz w:val="18"/>
          <w:szCs w:val="18"/>
        </w:rPr>
        <w:t xml:space="preserve"> </w:t>
      </w:r>
    </w:p>
    <w:p w14:paraId="30C9DC51"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4B15D901" w14:textId="66F16468"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Organisation for Economic Co-operation and Development (2016). </w:t>
      </w:r>
      <w:r w:rsidRPr="00D2194A">
        <w:rPr>
          <w:rFonts w:ascii="Segoe UI" w:hAnsi="Segoe UI" w:cs="Segoe UI"/>
          <w:i/>
          <w:iCs/>
          <w:sz w:val="18"/>
          <w:szCs w:val="18"/>
        </w:rPr>
        <w:t>Better Policies for Sustainable Development 2016: A New Framework for Policy Coherence.</w:t>
      </w:r>
      <w:r w:rsidRPr="00D2194A">
        <w:rPr>
          <w:rFonts w:ascii="Segoe UI" w:hAnsi="Segoe UI" w:cs="Segoe UI"/>
          <w:sz w:val="18"/>
          <w:szCs w:val="18"/>
        </w:rPr>
        <w:t xml:space="preserve"> Paris. </w:t>
      </w:r>
      <w:hyperlink r:id="rId38" w:history="1">
        <w:r w:rsidR="00EC27F4" w:rsidRPr="003D09EF">
          <w:rPr>
            <w:rStyle w:val="Hyperlink"/>
            <w:rFonts w:ascii="Segoe UI" w:hAnsi="Segoe UI" w:cs="Segoe UI"/>
            <w:sz w:val="18"/>
            <w:szCs w:val="18"/>
          </w:rPr>
          <w:t>http://dx.doi.org/10.1787/9789264256996-en</w:t>
        </w:r>
      </w:hyperlink>
      <w:r w:rsidRPr="00D2194A">
        <w:rPr>
          <w:rFonts w:ascii="Segoe UI" w:hAnsi="Segoe UI" w:cs="Segoe UI"/>
          <w:sz w:val="18"/>
          <w:szCs w:val="18"/>
        </w:rPr>
        <w:t>.</w:t>
      </w:r>
      <w:r w:rsidR="00EC27F4">
        <w:rPr>
          <w:rFonts w:ascii="Segoe UI" w:hAnsi="Segoe UI" w:cs="Segoe UI"/>
          <w:sz w:val="18"/>
          <w:szCs w:val="18"/>
        </w:rPr>
        <w:t xml:space="preserve"> </w:t>
      </w:r>
    </w:p>
    <w:p w14:paraId="2032E371"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5B4C24FD" w14:textId="6E9788C8"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Organisation for Economic Co-operation and Development, International Energy Agency, International Transport Forum and Nuclear Energy Agency (2015). </w:t>
      </w:r>
      <w:r w:rsidRPr="00D2194A">
        <w:rPr>
          <w:rFonts w:ascii="Segoe UI" w:hAnsi="Segoe UI" w:cs="Segoe UI"/>
          <w:i/>
          <w:iCs/>
          <w:sz w:val="18"/>
          <w:szCs w:val="18"/>
        </w:rPr>
        <w:t>Aligning Policies for a Low-Carbon Economy.</w:t>
      </w:r>
      <w:r w:rsidRPr="00D2194A">
        <w:rPr>
          <w:rFonts w:ascii="Segoe UI" w:hAnsi="Segoe UI" w:cs="Segoe UI"/>
          <w:sz w:val="18"/>
          <w:szCs w:val="18"/>
        </w:rPr>
        <w:t xml:space="preserve"> Paris. </w:t>
      </w:r>
      <w:hyperlink r:id="rId39" w:history="1">
        <w:r w:rsidR="00EC27F4" w:rsidRPr="003D09EF">
          <w:rPr>
            <w:rStyle w:val="Hyperlink"/>
            <w:rFonts w:ascii="Segoe UI" w:hAnsi="Segoe UI" w:cs="Segoe UI"/>
            <w:sz w:val="18"/>
            <w:szCs w:val="18"/>
          </w:rPr>
          <w:t>https://www.oecd-ilibrary.org/aligning-policies-for-a-low-carbon-economy_5js4lch2tsjj.pdf?itemId=%2Fcontent%2Fpublication%2F9789264233294-en&amp;mimeType=pdf</w:t>
        </w:r>
      </w:hyperlink>
      <w:r w:rsidRPr="00D2194A">
        <w:rPr>
          <w:rFonts w:ascii="Segoe UI" w:hAnsi="Segoe UI" w:cs="Segoe UI"/>
          <w:sz w:val="18"/>
          <w:szCs w:val="18"/>
        </w:rPr>
        <w:t>.</w:t>
      </w:r>
      <w:r w:rsidR="00EC27F4">
        <w:rPr>
          <w:rFonts w:ascii="Segoe UI" w:hAnsi="Segoe UI" w:cs="Segoe UI"/>
          <w:sz w:val="18"/>
          <w:szCs w:val="18"/>
        </w:rPr>
        <w:t xml:space="preserve"> </w:t>
      </w:r>
    </w:p>
    <w:p w14:paraId="1333EDEE"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4A3B8C24" w14:textId="4EF833EF" w:rsidR="00263195" w:rsidRPr="00D2194A" w:rsidRDefault="00263195" w:rsidP="00263195">
      <w:pPr>
        <w:autoSpaceDE w:val="0"/>
        <w:autoSpaceDN w:val="0"/>
        <w:adjustRightInd w:val="0"/>
        <w:spacing w:after="0" w:line="240" w:lineRule="auto"/>
        <w:rPr>
          <w:rFonts w:ascii="Segoe UI" w:hAnsi="Segoe UI" w:cs="Segoe UI"/>
          <w:sz w:val="18"/>
          <w:szCs w:val="18"/>
        </w:rPr>
      </w:pPr>
      <w:proofErr w:type="spellStart"/>
      <w:r w:rsidRPr="00D2194A">
        <w:rPr>
          <w:rFonts w:ascii="Segoe UI" w:hAnsi="Segoe UI" w:cs="Segoe UI"/>
          <w:sz w:val="18"/>
          <w:szCs w:val="18"/>
        </w:rPr>
        <w:t>Perrels</w:t>
      </w:r>
      <w:proofErr w:type="spellEnd"/>
      <w:r w:rsidRPr="00D2194A">
        <w:rPr>
          <w:rFonts w:ascii="Segoe UI" w:hAnsi="Segoe UI" w:cs="Segoe UI"/>
          <w:sz w:val="18"/>
          <w:szCs w:val="18"/>
        </w:rPr>
        <w:t xml:space="preserve">, A. (2001). Efficiency and effectiveness of policy instruments: Concepts and practice. </w:t>
      </w:r>
      <w:r w:rsidRPr="00D2194A">
        <w:rPr>
          <w:rFonts w:ascii="Segoe UI" w:hAnsi="Segoe UI" w:cs="Segoe UI"/>
          <w:i/>
          <w:iCs/>
          <w:sz w:val="18"/>
          <w:szCs w:val="18"/>
        </w:rPr>
        <w:t>Workshop on Good Practices in Policies and Measures</w:t>
      </w:r>
      <w:r w:rsidRPr="00D2194A">
        <w:rPr>
          <w:rFonts w:ascii="Segoe UI" w:hAnsi="Segoe UI" w:cs="Segoe UI"/>
          <w:sz w:val="18"/>
          <w:szCs w:val="18"/>
        </w:rPr>
        <w:t xml:space="preserve">. Copenhagen, 8-10 October 2001.  10 </w:t>
      </w:r>
      <w:hyperlink r:id="rId40" w:history="1">
        <w:r w:rsidR="00EC27F4" w:rsidRPr="003D09EF">
          <w:rPr>
            <w:rStyle w:val="Hyperlink"/>
            <w:rFonts w:ascii="Segoe UI" w:hAnsi="Segoe UI" w:cs="Segoe UI"/>
            <w:sz w:val="18"/>
            <w:szCs w:val="18"/>
          </w:rPr>
          <w:t>https://unfccc.int/files/meetings/workshops/other_meetings/application/pdf/perrels.pdf</w:t>
        </w:r>
      </w:hyperlink>
      <w:r w:rsidR="00EC27F4">
        <w:rPr>
          <w:rFonts w:ascii="Segoe UI" w:hAnsi="Segoe UI" w:cs="Segoe UI"/>
          <w:sz w:val="18"/>
          <w:szCs w:val="18"/>
        </w:rPr>
        <w:t xml:space="preserve"> </w:t>
      </w:r>
    </w:p>
    <w:p w14:paraId="697C2242"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5A3B2E5E" w14:textId="2FC52F14"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Rogers, P.J. and Weiss, C.H. (2007). Theory‐based evaluation: Reflections ten years on: Theory‐based evaluation: Past, present, and future. </w:t>
      </w:r>
      <w:r w:rsidRPr="00D2194A">
        <w:rPr>
          <w:rFonts w:ascii="Segoe UI" w:hAnsi="Segoe UI" w:cs="Segoe UI"/>
          <w:i/>
          <w:iCs/>
          <w:sz w:val="18"/>
          <w:szCs w:val="18"/>
        </w:rPr>
        <w:t>New directions for evaluation</w:t>
      </w:r>
      <w:r w:rsidRPr="00D2194A">
        <w:rPr>
          <w:rFonts w:ascii="Segoe UI" w:hAnsi="Segoe UI" w:cs="Segoe UI"/>
          <w:sz w:val="18"/>
          <w:szCs w:val="18"/>
        </w:rPr>
        <w:t xml:space="preserve"> (114), 63-81. </w:t>
      </w:r>
      <w:hyperlink r:id="rId41" w:history="1">
        <w:r w:rsidR="00EC27F4" w:rsidRPr="003D09EF">
          <w:rPr>
            <w:rStyle w:val="Hyperlink"/>
            <w:rFonts w:ascii="Segoe UI" w:hAnsi="Segoe UI" w:cs="Segoe UI"/>
            <w:sz w:val="18"/>
            <w:szCs w:val="18"/>
          </w:rPr>
          <w:t>https://doi.org/10.1002/ev.225</w:t>
        </w:r>
      </w:hyperlink>
      <w:r w:rsidR="00EC27F4">
        <w:rPr>
          <w:rFonts w:ascii="Segoe UI" w:hAnsi="Segoe UI" w:cs="Segoe UI"/>
          <w:sz w:val="18"/>
          <w:szCs w:val="18"/>
        </w:rPr>
        <w:t xml:space="preserve"> </w:t>
      </w:r>
    </w:p>
    <w:p w14:paraId="2B6EB7AC"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51890E0F" w14:textId="108496CD"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Sabatier, P.A. (1986). Top-down and bottom-up approaches to implementation research: A critical analysis and suggested synthesis. </w:t>
      </w:r>
      <w:r w:rsidRPr="00D2194A">
        <w:rPr>
          <w:rFonts w:ascii="Segoe UI" w:hAnsi="Segoe UI" w:cs="Segoe UI"/>
          <w:i/>
          <w:iCs/>
          <w:sz w:val="18"/>
          <w:szCs w:val="18"/>
        </w:rPr>
        <w:t xml:space="preserve">Journal of </w:t>
      </w:r>
      <w:r w:rsidR="00D2194A" w:rsidRPr="00D2194A">
        <w:rPr>
          <w:rFonts w:ascii="Segoe UI" w:hAnsi="Segoe UI" w:cs="Segoe UI"/>
          <w:i/>
          <w:iCs/>
          <w:sz w:val="18"/>
          <w:szCs w:val="18"/>
        </w:rPr>
        <w:t>P</w:t>
      </w:r>
      <w:r w:rsidRPr="00D2194A">
        <w:rPr>
          <w:rFonts w:ascii="Segoe UI" w:hAnsi="Segoe UI" w:cs="Segoe UI"/>
          <w:i/>
          <w:iCs/>
          <w:sz w:val="18"/>
          <w:szCs w:val="18"/>
        </w:rPr>
        <w:t xml:space="preserve">ublic </w:t>
      </w:r>
      <w:r w:rsidR="00D2194A" w:rsidRPr="00D2194A">
        <w:rPr>
          <w:rFonts w:ascii="Segoe UI" w:hAnsi="Segoe UI" w:cs="Segoe UI"/>
          <w:i/>
          <w:iCs/>
          <w:sz w:val="18"/>
          <w:szCs w:val="18"/>
        </w:rPr>
        <w:t>P</w:t>
      </w:r>
      <w:r w:rsidRPr="00D2194A">
        <w:rPr>
          <w:rFonts w:ascii="Segoe UI" w:hAnsi="Segoe UI" w:cs="Segoe UI"/>
          <w:i/>
          <w:iCs/>
          <w:sz w:val="18"/>
          <w:szCs w:val="18"/>
        </w:rPr>
        <w:t>olicy</w:t>
      </w:r>
      <w:r w:rsidRPr="00D2194A">
        <w:rPr>
          <w:rFonts w:ascii="Segoe UI" w:hAnsi="Segoe UI" w:cs="Segoe UI"/>
          <w:sz w:val="18"/>
          <w:szCs w:val="18"/>
        </w:rPr>
        <w:t xml:space="preserve"> 6(1), 21-48. </w:t>
      </w:r>
      <w:hyperlink r:id="rId42" w:history="1">
        <w:r w:rsidR="00EC27F4" w:rsidRPr="003D09EF">
          <w:rPr>
            <w:rStyle w:val="Hyperlink"/>
            <w:rFonts w:ascii="Segoe UI" w:hAnsi="Segoe UI" w:cs="Segoe UI"/>
            <w:sz w:val="18"/>
            <w:szCs w:val="18"/>
          </w:rPr>
          <w:t>https://doi.org/10.1017/S0143814X00003846</w:t>
        </w:r>
      </w:hyperlink>
      <w:r w:rsidRPr="00D2194A">
        <w:rPr>
          <w:rFonts w:ascii="Segoe UI" w:hAnsi="Segoe UI" w:cs="Segoe UI"/>
          <w:sz w:val="18"/>
          <w:szCs w:val="18"/>
        </w:rPr>
        <w:t>.</w:t>
      </w:r>
      <w:r w:rsidR="00EC27F4">
        <w:rPr>
          <w:rFonts w:ascii="Segoe UI" w:hAnsi="Segoe UI" w:cs="Segoe UI"/>
          <w:sz w:val="18"/>
          <w:szCs w:val="18"/>
        </w:rPr>
        <w:t xml:space="preserve"> </w:t>
      </w:r>
    </w:p>
    <w:p w14:paraId="11ED47B8"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56E51165" w14:textId="2D5C4B9E"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Sandler, T. (2017). Environmental cooperation: Contrasting international environmental agreements. </w:t>
      </w:r>
      <w:r w:rsidRPr="00D2194A">
        <w:rPr>
          <w:rFonts w:ascii="Segoe UI" w:hAnsi="Segoe UI" w:cs="Segoe UI"/>
          <w:i/>
          <w:iCs/>
          <w:sz w:val="18"/>
          <w:szCs w:val="18"/>
        </w:rPr>
        <w:t>Oxford Economic Papers</w:t>
      </w:r>
      <w:r w:rsidRPr="00D2194A">
        <w:rPr>
          <w:rFonts w:ascii="Segoe UI" w:hAnsi="Segoe UI" w:cs="Segoe UI"/>
          <w:sz w:val="18"/>
          <w:szCs w:val="18"/>
        </w:rPr>
        <w:t xml:space="preserve"> 69(2), 345-364. </w:t>
      </w:r>
      <w:hyperlink r:id="rId43" w:history="1">
        <w:r w:rsidR="00EC27F4" w:rsidRPr="003D09EF">
          <w:rPr>
            <w:rStyle w:val="Hyperlink"/>
            <w:rFonts w:ascii="Segoe UI" w:hAnsi="Segoe UI" w:cs="Segoe UI"/>
            <w:sz w:val="18"/>
            <w:szCs w:val="18"/>
          </w:rPr>
          <w:t>https://doi.org/10.1093/oep/gpw062</w:t>
        </w:r>
      </w:hyperlink>
      <w:r w:rsidRPr="00D2194A">
        <w:rPr>
          <w:rFonts w:ascii="Segoe UI" w:hAnsi="Segoe UI" w:cs="Segoe UI"/>
          <w:sz w:val="18"/>
          <w:szCs w:val="18"/>
        </w:rPr>
        <w:t>.</w:t>
      </w:r>
      <w:r w:rsidR="00EC27F4">
        <w:rPr>
          <w:rFonts w:ascii="Segoe UI" w:hAnsi="Segoe UI" w:cs="Segoe UI"/>
          <w:sz w:val="18"/>
          <w:szCs w:val="18"/>
        </w:rPr>
        <w:t xml:space="preserve"> </w:t>
      </w:r>
    </w:p>
    <w:p w14:paraId="2CD92855"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21ED1A26" w14:textId="1C6963C7"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United Nations Economic and Social Council (2006). </w:t>
      </w:r>
      <w:r w:rsidRPr="00D2194A">
        <w:rPr>
          <w:rFonts w:ascii="Segoe UI" w:hAnsi="Segoe UI" w:cs="Segoe UI"/>
          <w:i/>
          <w:sz w:val="18"/>
          <w:szCs w:val="18"/>
        </w:rPr>
        <w:t>Definition of Basic Concepts and Terminologies in Governance and Public Administration. Note by the Secretariat</w:t>
      </w:r>
      <w:r w:rsidRPr="00D2194A">
        <w:rPr>
          <w:rFonts w:ascii="Segoe UI" w:hAnsi="Segoe UI" w:cs="Segoe UI"/>
          <w:sz w:val="18"/>
          <w:szCs w:val="18"/>
        </w:rPr>
        <w:t xml:space="preserve">*. E/C.16/2006/4.  </w:t>
      </w:r>
      <w:hyperlink r:id="rId44" w:history="1">
        <w:r w:rsidR="00EC27F4" w:rsidRPr="003D09EF">
          <w:rPr>
            <w:rStyle w:val="Hyperlink"/>
            <w:rFonts w:ascii="Segoe UI" w:hAnsi="Segoe UI" w:cs="Segoe UI"/>
            <w:sz w:val="18"/>
            <w:szCs w:val="18"/>
          </w:rPr>
          <w:t>http://unpan1.un.org/intradoc/groups/public/documents/un/unpan022332.pdf</w:t>
        </w:r>
      </w:hyperlink>
      <w:r w:rsidR="00EC27F4">
        <w:rPr>
          <w:rFonts w:ascii="Segoe UI" w:hAnsi="Segoe UI" w:cs="Segoe UI"/>
          <w:sz w:val="18"/>
          <w:szCs w:val="18"/>
        </w:rPr>
        <w:t xml:space="preserve"> </w:t>
      </w:r>
    </w:p>
    <w:p w14:paraId="2010F268"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45304803" w14:textId="67B655D6"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United Nations Environment Programme (2007). </w:t>
      </w:r>
      <w:r w:rsidRPr="00D2194A">
        <w:rPr>
          <w:rFonts w:ascii="Segoe UI" w:hAnsi="Segoe UI" w:cs="Segoe UI"/>
          <w:i/>
          <w:iCs/>
          <w:sz w:val="18"/>
          <w:szCs w:val="18"/>
        </w:rPr>
        <w:t>Global Environment Outlook-4: Environment for Development.</w:t>
      </w:r>
      <w:r w:rsidRPr="00D2194A">
        <w:rPr>
          <w:rFonts w:ascii="Segoe UI" w:hAnsi="Segoe UI" w:cs="Segoe UI"/>
          <w:sz w:val="18"/>
          <w:szCs w:val="18"/>
        </w:rPr>
        <w:t xml:space="preserve"> Nairobi. </w:t>
      </w:r>
      <w:hyperlink r:id="rId45" w:history="1">
        <w:r w:rsidR="00EC27F4" w:rsidRPr="003D09EF">
          <w:rPr>
            <w:rStyle w:val="Hyperlink"/>
            <w:rFonts w:ascii="Segoe UI" w:hAnsi="Segoe UI" w:cs="Segoe UI"/>
            <w:sz w:val="18"/>
            <w:szCs w:val="18"/>
          </w:rPr>
          <w:t>https://wedocs.unep.org/bitstream/handle/20.500.11822/7646/-Global%20Environment%20Outlook%20%204%20(GEO-4)-2007768.pdf?isAllowed=y&amp;sequence=3</w:t>
        </w:r>
      </w:hyperlink>
      <w:r w:rsidRPr="00D2194A">
        <w:rPr>
          <w:rFonts w:ascii="Segoe UI" w:hAnsi="Segoe UI" w:cs="Segoe UI"/>
          <w:sz w:val="18"/>
          <w:szCs w:val="18"/>
        </w:rPr>
        <w:t>.</w:t>
      </w:r>
      <w:r w:rsidR="00EC27F4">
        <w:rPr>
          <w:rFonts w:ascii="Segoe UI" w:hAnsi="Segoe UI" w:cs="Segoe UI"/>
          <w:sz w:val="18"/>
          <w:szCs w:val="18"/>
        </w:rPr>
        <w:t xml:space="preserve"> </w:t>
      </w:r>
    </w:p>
    <w:p w14:paraId="684778D3"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18F31969" w14:textId="412649CF"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United Nations Environment Programme (2012). </w:t>
      </w:r>
      <w:r w:rsidRPr="00D2194A">
        <w:rPr>
          <w:rFonts w:ascii="Segoe UI" w:hAnsi="Segoe UI" w:cs="Segoe UI"/>
          <w:i/>
          <w:iCs/>
          <w:sz w:val="18"/>
          <w:szCs w:val="18"/>
        </w:rPr>
        <w:t>Global Environment Outlook-5: Environment for the Future We Want.</w:t>
      </w:r>
      <w:r w:rsidRPr="00D2194A">
        <w:rPr>
          <w:rFonts w:ascii="Segoe UI" w:hAnsi="Segoe UI" w:cs="Segoe UI"/>
          <w:sz w:val="18"/>
          <w:szCs w:val="18"/>
        </w:rPr>
        <w:t xml:space="preserve"> Nairobi. </w:t>
      </w:r>
      <w:hyperlink r:id="rId46" w:history="1">
        <w:r w:rsidR="00EC27F4" w:rsidRPr="003D09EF">
          <w:rPr>
            <w:rStyle w:val="Hyperlink"/>
            <w:rFonts w:ascii="Segoe UI" w:hAnsi="Segoe UI" w:cs="Segoe UI"/>
            <w:sz w:val="18"/>
            <w:szCs w:val="18"/>
          </w:rPr>
          <w:t>http://wedocs.unep.org/bitstream/handle/20.500.11822/8021/GEO5_report_full_en.pdf?sequence=5&amp;isAllowed=y</w:t>
        </w:r>
      </w:hyperlink>
      <w:r w:rsidR="00EC27F4">
        <w:rPr>
          <w:rFonts w:ascii="Segoe UI" w:hAnsi="Segoe UI" w:cs="Segoe UI"/>
          <w:sz w:val="18"/>
          <w:szCs w:val="18"/>
        </w:rPr>
        <w:t xml:space="preserve">. </w:t>
      </w:r>
    </w:p>
    <w:p w14:paraId="4122940E"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6696BECA" w14:textId="41015A5D"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United Nations Environment Programme (2017). </w:t>
      </w:r>
      <w:r w:rsidRPr="00D2194A">
        <w:rPr>
          <w:rFonts w:ascii="Segoe UI" w:hAnsi="Segoe UI" w:cs="Segoe UI"/>
          <w:i/>
          <w:iCs/>
          <w:sz w:val="18"/>
          <w:szCs w:val="18"/>
        </w:rPr>
        <w:t>Use of Theory of Change in Project Evaluations: Introduction.</w:t>
      </w:r>
      <w:r w:rsidRPr="00D2194A">
        <w:rPr>
          <w:rFonts w:ascii="Segoe UI" w:hAnsi="Segoe UI" w:cs="Segoe UI"/>
          <w:sz w:val="18"/>
          <w:szCs w:val="18"/>
        </w:rPr>
        <w:t xml:space="preserve"> Nairobi. </w:t>
      </w:r>
      <w:hyperlink r:id="rId47" w:history="1">
        <w:r w:rsidR="00EC27F4" w:rsidRPr="003D09EF">
          <w:rPr>
            <w:rStyle w:val="Hyperlink"/>
            <w:rFonts w:ascii="Segoe UI" w:hAnsi="Segoe UI" w:cs="Segoe UI"/>
            <w:sz w:val="18"/>
            <w:szCs w:val="18"/>
          </w:rPr>
          <w:t>http://wedocs.unep.org/bitstream/handle/20.500.11822/7116/11_Use_of_Theory_of_Change_in_Project_Evaluation_26.10.17.pdf?sequence=6&amp;isAllowed=y</w:t>
        </w:r>
      </w:hyperlink>
      <w:r w:rsidRPr="00D2194A">
        <w:rPr>
          <w:rFonts w:ascii="Segoe UI" w:hAnsi="Segoe UI" w:cs="Segoe UI"/>
          <w:sz w:val="18"/>
          <w:szCs w:val="18"/>
        </w:rPr>
        <w:t>.</w:t>
      </w:r>
      <w:r w:rsidR="00EC27F4">
        <w:rPr>
          <w:rFonts w:ascii="Segoe UI" w:hAnsi="Segoe UI" w:cs="Segoe UI"/>
          <w:sz w:val="18"/>
          <w:szCs w:val="18"/>
        </w:rPr>
        <w:t xml:space="preserve"> </w:t>
      </w:r>
    </w:p>
    <w:p w14:paraId="40224631"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7DEB9479" w14:textId="4933A0A6"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van </w:t>
      </w:r>
      <w:proofErr w:type="spellStart"/>
      <w:r w:rsidRPr="00D2194A">
        <w:rPr>
          <w:rFonts w:ascii="Segoe UI" w:hAnsi="Segoe UI" w:cs="Segoe UI"/>
          <w:sz w:val="18"/>
          <w:szCs w:val="18"/>
        </w:rPr>
        <w:t>Tulder</w:t>
      </w:r>
      <w:proofErr w:type="spellEnd"/>
      <w:r w:rsidRPr="00D2194A">
        <w:rPr>
          <w:rFonts w:ascii="Segoe UI" w:hAnsi="Segoe UI" w:cs="Segoe UI"/>
          <w:sz w:val="18"/>
          <w:szCs w:val="18"/>
        </w:rPr>
        <w:t xml:space="preserve">, R., </w:t>
      </w:r>
      <w:proofErr w:type="spellStart"/>
      <w:r w:rsidRPr="00D2194A">
        <w:rPr>
          <w:rFonts w:ascii="Segoe UI" w:hAnsi="Segoe UI" w:cs="Segoe UI"/>
          <w:sz w:val="18"/>
          <w:szCs w:val="18"/>
        </w:rPr>
        <w:t>Seitanidi</w:t>
      </w:r>
      <w:proofErr w:type="spellEnd"/>
      <w:r w:rsidRPr="00D2194A">
        <w:rPr>
          <w:rFonts w:ascii="Segoe UI" w:hAnsi="Segoe UI" w:cs="Segoe UI"/>
          <w:sz w:val="18"/>
          <w:szCs w:val="18"/>
        </w:rPr>
        <w:t xml:space="preserve">, M.M., Crane, A. and Brammer, S. (2016). Enhancing the impact of cross-sector partnerships. </w:t>
      </w:r>
      <w:r w:rsidRPr="00D2194A">
        <w:rPr>
          <w:rFonts w:ascii="Segoe UI" w:hAnsi="Segoe UI" w:cs="Segoe UI"/>
          <w:i/>
          <w:iCs/>
          <w:sz w:val="18"/>
          <w:szCs w:val="18"/>
        </w:rPr>
        <w:t>Journal of Business Ethics</w:t>
      </w:r>
      <w:r w:rsidRPr="00D2194A">
        <w:rPr>
          <w:rFonts w:ascii="Segoe UI" w:hAnsi="Segoe UI" w:cs="Segoe UI"/>
          <w:sz w:val="18"/>
          <w:szCs w:val="18"/>
        </w:rPr>
        <w:t xml:space="preserve"> 135(1), 1-17. </w:t>
      </w:r>
      <w:hyperlink r:id="rId48" w:history="1">
        <w:r w:rsidR="00EC27F4" w:rsidRPr="003D09EF">
          <w:rPr>
            <w:rStyle w:val="Hyperlink"/>
            <w:rFonts w:ascii="Segoe UI" w:hAnsi="Segoe UI" w:cs="Segoe UI"/>
            <w:sz w:val="18"/>
            <w:szCs w:val="18"/>
          </w:rPr>
          <w:t>https://doi.org/10.1007/s10551-015-2756-4</w:t>
        </w:r>
      </w:hyperlink>
      <w:r w:rsidRPr="00D2194A">
        <w:rPr>
          <w:rFonts w:ascii="Segoe UI" w:hAnsi="Segoe UI" w:cs="Segoe UI"/>
          <w:sz w:val="18"/>
          <w:szCs w:val="18"/>
        </w:rPr>
        <w:t>.</w:t>
      </w:r>
      <w:r w:rsidR="00EC27F4">
        <w:rPr>
          <w:rFonts w:ascii="Segoe UI" w:hAnsi="Segoe UI" w:cs="Segoe UI"/>
          <w:sz w:val="18"/>
          <w:szCs w:val="18"/>
        </w:rPr>
        <w:t xml:space="preserve"> </w:t>
      </w:r>
    </w:p>
    <w:p w14:paraId="51ABDB85" w14:textId="77777777" w:rsidR="00263195" w:rsidRPr="00D2194A" w:rsidRDefault="00263195" w:rsidP="00263195">
      <w:pPr>
        <w:autoSpaceDE w:val="0"/>
        <w:autoSpaceDN w:val="0"/>
        <w:adjustRightInd w:val="0"/>
        <w:spacing w:after="0" w:line="240" w:lineRule="auto"/>
        <w:rPr>
          <w:rFonts w:ascii="Segoe UI" w:hAnsi="Segoe UI" w:cs="Segoe UI"/>
          <w:sz w:val="18"/>
          <w:szCs w:val="18"/>
        </w:rPr>
      </w:pPr>
    </w:p>
    <w:p w14:paraId="49115701" w14:textId="2788DDC6" w:rsidR="00263195" w:rsidRPr="00D2194A" w:rsidRDefault="00263195" w:rsidP="00263195">
      <w:pPr>
        <w:autoSpaceDE w:val="0"/>
        <w:autoSpaceDN w:val="0"/>
        <w:adjustRightInd w:val="0"/>
        <w:spacing w:after="0" w:line="240" w:lineRule="auto"/>
        <w:rPr>
          <w:rFonts w:ascii="Segoe UI" w:hAnsi="Segoe UI" w:cs="Segoe UI"/>
          <w:sz w:val="18"/>
          <w:szCs w:val="18"/>
        </w:rPr>
      </w:pPr>
      <w:r w:rsidRPr="00D2194A">
        <w:rPr>
          <w:rFonts w:ascii="Segoe UI" w:hAnsi="Segoe UI" w:cs="Segoe UI"/>
          <w:sz w:val="18"/>
          <w:szCs w:val="18"/>
        </w:rPr>
        <w:t xml:space="preserve">Yoshida, T. and </w:t>
      </w:r>
      <w:proofErr w:type="spellStart"/>
      <w:r w:rsidRPr="00D2194A">
        <w:rPr>
          <w:rFonts w:ascii="Segoe UI" w:hAnsi="Segoe UI" w:cs="Segoe UI"/>
          <w:sz w:val="18"/>
          <w:szCs w:val="18"/>
        </w:rPr>
        <w:t>Zusman</w:t>
      </w:r>
      <w:proofErr w:type="spellEnd"/>
      <w:r w:rsidRPr="00D2194A">
        <w:rPr>
          <w:rFonts w:ascii="Segoe UI" w:hAnsi="Segoe UI" w:cs="Segoe UI"/>
          <w:sz w:val="18"/>
          <w:szCs w:val="18"/>
        </w:rPr>
        <w:t xml:space="preserve">, E. (2015). </w:t>
      </w:r>
      <w:r w:rsidRPr="00D2194A">
        <w:rPr>
          <w:rFonts w:ascii="Segoe UI" w:hAnsi="Segoe UI" w:cs="Segoe UI"/>
          <w:i/>
          <w:iCs/>
          <w:sz w:val="18"/>
          <w:szCs w:val="18"/>
        </w:rPr>
        <w:t>Can the Sustainable Development Goals Strengthen Existing Legal Instruments? The Case of Biodiversity and Forests.</w:t>
      </w:r>
      <w:r w:rsidRPr="00D2194A">
        <w:rPr>
          <w:rFonts w:ascii="Segoe UI" w:hAnsi="Segoe UI" w:cs="Segoe UI"/>
          <w:sz w:val="18"/>
          <w:szCs w:val="18"/>
        </w:rPr>
        <w:t xml:space="preserve"> Global Environmental </w:t>
      </w:r>
      <w:proofErr w:type="spellStart"/>
      <w:r w:rsidRPr="00D2194A">
        <w:rPr>
          <w:rFonts w:ascii="Segoe UI" w:hAnsi="Segoe UI" w:cs="Segoe UI"/>
          <w:sz w:val="18"/>
          <w:szCs w:val="18"/>
        </w:rPr>
        <w:t>ResearchInstitute</w:t>
      </w:r>
      <w:proofErr w:type="spellEnd"/>
      <w:r w:rsidRPr="00D2194A">
        <w:rPr>
          <w:rFonts w:ascii="Segoe UI" w:hAnsi="Segoe UI" w:cs="Segoe UI"/>
          <w:sz w:val="18"/>
          <w:szCs w:val="18"/>
        </w:rPr>
        <w:t xml:space="preserve"> for Global Environmental Strategies. </w:t>
      </w:r>
      <w:hyperlink r:id="rId49" w:history="1">
        <w:r w:rsidR="00EC27F4" w:rsidRPr="003D09EF">
          <w:rPr>
            <w:rStyle w:val="Hyperlink"/>
            <w:rFonts w:ascii="Segoe UI" w:hAnsi="Segoe UI" w:cs="Segoe UI"/>
            <w:sz w:val="18"/>
            <w:szCs w:val="18"/>
          </w:rPr>
          <w:t>http://www.airies.or.jp/attach.php/6a6f75726e616c5f476c6f62616c456e7669726f6e6d656e74616c52657365617263685f6736737748764e6a/save/0/0/19_2-13.pdf</w:t>
        </w:r>
      </w:hyperlink>
      <w:r w:rsidRPr="00D2194A">
        <w:rPr>
          <w:rFonts w:ascii="Segoe UI" w:hAnsi="Segoe UI" w:cs="Segoe UI"/>
          <w:sz w:val="18"/>
          <w:szCs w:val="18"/>
        </w:rPr>
        <w:t>.</w:t>
      </w:r>
      <w:r w:rsidR="00EC27F4">
        <w:rPr>
          <w:rFonts w:ascii="Segoe UI" w:hAnsi="Segoe UI" w:cs="Segoe UI"/>
          <w:sz w:val="18"/>
          <w:szCs w:val="18"/>
        </w:rPr>
        <w:t xml:space="preserve"> </w:t>
      </w:r>
    </w:p>
    <w:p w14:paraId="3943AB76" w14:textId="77777777" w:rsidR="00263195" w:rsidRDefault="00263195" w:rsidP="00263195">
      <w:pPr>
        <w:autoSpaceDE w:val="0"/>
        <w:autoSpaceDN w:val="0"/>
        <w:adjustRightInd w:val="0"/>
        <w:spacing w:after="0" w:line="240" w:lineRule="auto"/>
        <w:rPr>
          <w:rFonts w:ascii="Segoe UI" w:hAnsi="Segoe UI" w:cs="Segoe UI"/>
          <w:sz w:val="18"/>
          <w:szCs w:val="18"/>
        </w:rPr>
      </w:pPr>
    </w:p>
    <w:p w14:paraId="34859C63" w14:textId="77777777" w:rsidR="004717A4" w:rsidRPr="00C901F8" w:rsidRDefault="004717A4" w:rsidP="00FF22C7">
      <w:pPr>
        <w:pStyle w:val="RefText"/>
        <w:rPr>
          <w:color w:val="auto"/>
          <w:lang w:eastAsia="zh-CN"/>
        </w:rPr>
      </w:pPr>
    </w:p>
    <w:sectPr w:rsidR="004717A4" w:rsidRPr="00C901F8" w:rsidSect="00BF0177">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D5C25" w14:textId="77777777" w:rsidR="00060814" w:rsidRDefault="00060814" w:rsidP="00566049">
      <w:r>
        <w:separator/>
      </w:r>
    </w:p>
  </w:endnote>
  <w:endnote w:type="continuationSeparator" w:id="0">
    <w:p w14:paraId="532A8E00" w14:textId="77777777" w:rsidR="00060814" w:rsidRDefault="00060814" w:rsidP="0056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696076"/>
      <w:docPartObj>
        <w:docPartGallery w:val="Page Numbers (Bottom of Page)"/>
        <w:docPartUnique/>
      </w:docPartObj>
    </w:sdtPr>
    <w:sdtEndPr>
      <w:rPr>
        <w:noProof/>
      </w:rPr>
    </w:sdtEndPr>
    <w:sdtContent>
      <w:p w14:paraId="19D538A4" w14:textId="522187C2" w:rsidR="00070A9A" w:rsidRDefault="00070A9A" w:rsidP="00566049">
        <w:pPr>
          <w:pStyle w:val="Footer"/>
          <w:jc w:val="right"/>
        </w:pPr>
        <w:r>
          <w:fldChar w:fldCharType="begin"/>
        </w:r>
        <w:r>
          <w:instrText xml:space="preserve"> PAGE   \* MERGEFORMAT </w:instrText>
        </w:r>
        <w:r>
          <w:fldChar w:fldCharType="separate"/>
        </w:r>
        <w:r w:rsidR="00EC27F4">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887DA" w14:textId="77777777" w:rsidR="00060814" w:rsidRDefault="00060814" w:rsidP="00566049">
      <w:r>
        <w:separator/>
      </w:r>
    </w:p>
  </w:footnote>
  <w:footnote w:type="continuationSeparator" w:id="0">
    <w:p w14:paraId="5A181FBA" w14:textId="77777777" w:rsidR="00060814" w:rsidRDefault="00060814" w:rsidP="0056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AA3F" w14:textId="77777777" w:rsidR="00070A9A" w:rsidRDefault="00070A9A" w:rsidP="00566049">
    <w:r>
      <w:t>DRAFT – DO NOT CITE OR QUOTE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2AB"/>
    <w:multiLevelType w:val="hybridMultilevel"/>
    <w:tmpl w:val="1FFE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90B94"/>
    <w:multiLevelType w:val="hybridMultilevel"/>
    <w:tmpl w:val="0FD81B1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15:restartNumberingAfterBreak="0">
    <w:nsid w:val="12A038EB"/>
    <w:multiLevelType w:val="hybridMultilevel"/>
    <w:tmpl w:val="BCB4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30FA8"/>
    <w:multiLevelType w:val="multilevel"/>
    <w:tmpl w:val="5E42A4D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701764"/>
    <w:multiLevelType w:val="hybridMultilevel"/>
    <w:tmpl w:val="01D0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A3989"/>
    <w:multiLevelType w:val="hybridMultilevel"/>
    <w:tmpl w:val="F5FC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17747"/>
    <w:multiLevelType w:val="hybridMultilevel"/>
    <w:tmpl w:val="6096D688"/>
    <w:lvl w:ilvl="0" w:tplc="5A54D9B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BF69C6"/>
    <w:multiLevelType w:val="hybridMultilevel"/>
    <w:tmpl w:val="5E22C96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8" w15:restartNumberingAfterBreak="0">
    <w:nsid w:val="2E01220C"/>
    <w:multiLevelType w:val="hybridMultilevel"/>
    <w:tmpl w:val="452E4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EA699C"/>
    <w:multiLevelType w:val="multilevel"/>
    <w:tmpl w:val="A70281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6B64C5"/>
    <w:multiLevelType w:val="multilevel"/>
    <w:tmpl w:val="EDAC8750"/>
    <w:lvl w:ilvl="0">
      <w:start w:val="1"/>
      <w:numFmt w:val="decimal"/>
      <w:pStyle w:val="ListParagraph"/>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72431F6"/>
    <w:multiLevelType w:val="multilevel"/>
    <w:tmpl w:val="E004AE2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8E157D"/>
    <w:multiLevelType w:val="hybridMultilevel"/>
    <w:tmpl w:val="10EA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A62B4"/>
    <w:multiLevelType w:val="multilevel"/>
    <w:tmpl w:val="AF5E1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B5648B"/>
    <w:multiLevelType w:val="hybridMultilevel"/>
    <w:tmpl w:val="5582F884"/>
    <w:lvl w:ilvl="0" w:tplc="F3DCD4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13E03"/>
    <w:multiLevelType w:val="multilevel"/>
    <w:tmpl w:val="C04CA74E"/>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5796819"/>
    <w:multiLevelType w:val="hybridMultilevel"/>
    <w:tmpl w:val="A99A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C510C"/>
    <w:multiLevelType w:val="multilevel"/>
    <w:tmpl w:val="235C0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BB64CC4"/>
    <w:multiLevelType w:val="multilevel"/>
    <w:tmpl w:val="6400EDE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E3F0EB4"/>
    <w:multiLevelType w:val="multilevel"/>
    <w:tmpl w:val="A6D82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3F7DAA"/>
    <w:multiLevelType w:val="hybridMultilevel"/>
    <w:tmpl w:val="8A601D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F556A"/>
    <w:multiLevelType w:val="hybridMultilevel"/>
    <w:tmpl w:val="F34C5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D6922"/>
    <w:multiLevelType w:val="multilevel"/>
    <w:tmpl w:val="DCEE3282"/>
    <w:lvl w:ilvl="0">
      <w:start w:val="1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81E3EFE"/>
    <w:multiLevelType w:val="hybridMultilevel"/>
    <w:tmpl w:val="8F0A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976A1"/>
    <w:multiLevelType w:val="multilevel"/>
    <w:tmpl w:val="04102DE8"/>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D914AA7"/>
    <w:multiLevelType w:val="hybridMultilevel"/>
    <w:tmpl w:val="5E4A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B55B5"/>
    <w:multiLevelType w:val="hybridMultilevel"/>
    <w:tmpl w:val="B3926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343EB4"/>
    <w:multiLevelType w:val="multilevel"/>
    <w:tmpl w:val="5BAE9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97A28C5"/>
    <w:multiLevelType w:val="hybridMultilevel"/>
    <w:tmpl w:val="A3B8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F0777"/>
    <w:multiLevelType w:val="hybridMultilevel"/>
    <w:tmpl w:val="3844F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A87622"/>
    <w:multiLevelType w:val="multilevel"/>
    <w:tmpl w:val="75E68A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CE13F95"/>
    <w:multiLevelType w:val="multilevel"/>
    <w:tmpl w:val="EB142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364AFC"/>
    <w:multiLevelType w:val="hybridMultilevel"/>
    <w:tmpl w:val="00E25A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AF6E34"/>
    <w:multiLevelType w:val="hybridMultilevel"/>
    <w:tmpl w:val="FD92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919A2"/>
    <w:multiLevelType w:val="multilevel"/>
    <w:tmpl w:val="20D85818"/>
    <w:lvl w:ilvl="0">
      <w:start w:val="1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2D3689A"/>
    <w:multiLevelType w:val="hybridMultilevel"/>
    <w:tmpl w:val="490C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E36F1"/>
    <w:multiLevelType w:val="hybridMultilevel"/>
    <w:tmpl w:val="EA22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B28CB"/>
    <w:multiLevelType w:val="hybridMultilevel"/>
    <w:tmpl w:val="6A1E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35571"/>
    <w:multiLevelType w:val="hybridMultilevel"/>
    <w:tmpl w:val="1C4C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34"/>
  </w:num>
  <w:num w:numId="4">
    <w:abstractNumId w:val="17"/>
  </w:num>
  <w:num w:numId="5">
    <w:abstractNumId w:val="15"/>
  </w:num>
  <w:num w:numId="6">
    <w:abstractNumId w:val="30"/>
  </w:num>
  <w:num w:numId="7">
    <w:abstractNumId w:val="11"/>
  </w:num>
  <w:num w:numId="8">
    <w:abstractNumId w:val="1"/>
  </w:num>
  <w:num w:numId="9">
    <w:abstractNumId w:val="7"/>
  </w:num>
  <w:num w:numId="10">
    <w:abstractNumId w:val="8"/>
  </w:num>
  <w:num w:numId="11">
    <w:abstractNumId w:val="29"/>
  </w:num>
  <w:num w:numId="12">
    <w:abstractNumId w:val="6"/>
  </w:num>
  <w:num w:numId="13">
    <w:abstractNumId w:val="32"/>
  </w:num>
  <w:num w:numId="14">
    <w:abstractNumId w:val="4"/>
  </w:num>
  <w:num w:numId="15">
    <w:abstractNumId w:val="33"/>
  </w:num>
  <w:num w:numId="16">
    <w:abstractNumId w:val="37"/>
  </w:num>
  <w:num w:numId="17">
    <w:abstractNumId w:val="23"/>
  </w:num>
  <w:num w:numId="18">
    <w:abstractNumId w:val="28"/>
  </w:num>
  <w:num w:numId="19">
    <w:abstractNumId w:val="12"/>
  </w:num>
  <w:num w:numId="20">
    <w:abstractNumId w:val="5"/>
  </w:num>
  <w:num w:numId="21">
    <w:abstractNumId w:val="38"/>
  </w:num>
  <w:num w:numId="22">
    <w:abstractNumId w:val="2"/>
  </w:num>
  <w:num w:numId="23">
    <w:abstractNumId w:val="35"/>
  </w:num>
  <w:num w:numId="24">
    <w:abstractNumId w:val="36"/>
  </w:num>
  <w:num w:numId="25">
    <w:abstractNumId w:val="25"/>
  </w:num>
  <w:num w:numId="26">
    <w:abstractNumId w:val="0"/>
  </w:num>
  <w:num w:numId="27">
    <w:abstractNumId w:val="21"/>
  </w:num>
  <w:num w:numId="28">
    <w:abstractNumId w:val="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8"/>
  </w:num>
  <w:num w:numId="33">
    <w:abstractNumId w:val="16"/>
  </w:num>
  <w:num w:numId="34">
    <w:abstractNumId w:val="26"/>
  </w:num>
  <w:num w:numId="35">
    <w:abstractNumId w:val="13"/>
  </w:num>
  <w:num w:numId="36">
    <w:abstractNumId w:val="27"/>
  </w:num>
  <w:num w:numId="37">
    <w:abstractNumId w:val="31"/>
  </w:num>
  <w:num w:numId="38">
    <w:abstractNumId w:val="19"/>
  </w:num>
  <w:num w:numId="39">
    <w:abstractNumId w:val="2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334"/>
    <w:rsid w:val="0000004E"/>
    <w:rsid w:val="00007332"/>
    <w:rsid w:val="0001247A"/>
    <w:rsid w:val="00014336"/>
    <w:rsid w:val="000228DA"/>
    <w:rsid w:val="00024BBE"/>
    <w:rsid w:val="00031A46"/>
    <w:rsid w:val="00040722"/>
    <w:rsid w:val="00041175"/>
    <w:rsid w:val="000460FB"/>
    <w:rsid w:val="00052CC4"/>
    <w:rsid w:val="00060814"/>
    <w:rsid w:val="00061DCC"/>
    <w:rsid w:val="0006556F"/>
    <w:rsid w:val="00070A9A"/>
    <w:rsid w:val="00074BFB"/>
    <w:rsid w:val="000828BB"/>
    <w:rsid w:val="00093F86"/>
    <w:rsid w:val="000A2DC0"/>
    <w:rsid w:val="000A3629"/>
    <w:rsid w:val="000A4103"/>
    <w:rsid w:val="000D7D10"/>
    <w:rsid w:val="000F287A"/>
    <w:rsid w:val="001134E5"/>
    <w:rsid w:val="0013154C"/>
    <w:rsid w:val="00140B4A"/>
    <w:rsid w:val="001462D0"/>
    <w:rsid w:val="00151DA5"/>
    <w:rsid w:val="00165FF6"/>
    <w:rsid w:val="00170E1E"/>
    <w:rsid w:val="00176111"/>
    <w:rsid w:val="001912D3"/>
    <w:rsid w:val="001963DA"/>
    <w:rsid w:val="001A18CE"/>
    <w:rsid w:val="001A4AC3"/>
    <w:rsid w:val="001A682F"/>
    <w:rsid w:val="001F1AED"/>
    <w:rsid w:val="00217A1F"/>
    <w:rsid w:val="00220239"/>
    <w:rsid w:val="002217C7"/>
    <w:rsid w:val="0022285D"/>
    <w:rsid w:val="002259DC"/>
    <w:rsid w:val="00227836"/>
    <w:rsid w:val="002423BF"/>
    <w:rsid w:val="00251035"/>
    <w:rsid w:val="00254B61"/>
    <w:rsid w:val="00263195"/>
    <w:rsid w:val="00276054"/>
    <w:rsid w:val="002B4B64"/>
    <w:rsid w:val="002C36F3"/>
    <w:rsid w:val="002C7B6D"/>
    <w:rsid w:val="002D7085"/>
    <w:rsid w:val="002E0334"/>
    <w:rsid w:val="002E0D3A"/>
    <w:rsid w:val="002E6D4A"/>
    <w:rsid w:val="00303B2B"/>
    <w:rsid w:val="003055CE"/>
    <w:rsid w:val="00314388"/>
    <w:rsid w:val="00341AFB"/>
    <w:rsid w:val="00342D79"/>
    <w:rsid w:val="00354082"/>
    <w:rsid w:val="00354578"/>
    <w:rsid w:val="003557F7"/>
    <w:rsid w:val="00377470"/>
    <w:rsid w:val="00382A40"/>
    <w:rsid w:val="00396C1F"/>
    <w:rsid w:val="003A3C99"/>
    <w:rsid w:val="003C1E25"/>
    <w:rsid w:val="003C345B"/>
    <w:rsid w:val="003C5BAC"/>
    <w:rsid w:val="003D5739"/>
    <w:rsid w:val="003E20B5"/>
    <w:rsid w:val="003F1955"/>
    <w:rsid w:val="004048B3"/>
    <w:rsid w:val="00406184"/>
    <w:rsid w:val="004137EF"/>
    <w:rsid w:val="004156EC"/>
    <w:rsid w:val="00416081"/>
    <w:rsid w:val="00426315"/>
    <w:rsid w:val="00434912"/>
    <w:rsid w:val="004420B4"/>
    <w:rsid w:val="004717A4"/>
    <w:rsid w:val="00493214"/>
    <w:rsid w:val="004941AE"/>
    <w:rsid w:val="004E45A7"/>
    <w:rsid w:val="004F2DE7"/>
    <w:rsid w:val="00503A96"/>
    <w:rsid w:val="00516C13"/>
    <w:rsid w:val="00532D77"/>
    <w:rsid w:val="0054769C"/>
    <w:rsid w:val="0056284C"/>
    <w:rsid w:val="00566049"/>
    <w:rsid w:val="00573E03"/>
    <w:rsid w:val="00584CFF"/>
    <w:rsid w:val="00597D5D"/>
    <w:rsid w:val="005A19C9"/>
    <w:rsid w:val="005A3D95"/>
    <w:rsid w:val="005A4CBC"/>
    <w:rsid w:val="005A4ED8"/>
    <w:rsid w:val="005A52C7"/>
    <w:rsid w:val="005A72E8"/>
    <w:rsid w:val="005C7825"/>
    <w:rsid w:val="005D157D"/>
    <w:rsid w:val="005E6BFA"/>
    <w:rsid w:val="005F2026"/>
    <w:rsid w:val="00600445"/>
    <w:rsid w:val="00604847"/>
    <w:rsid w:val="00624953"/>
    <w:rsid w:val="00642528"/>
    <w:rsid w:val="00663EAD"/>
    <w:rsid w:val="006916F3"/>
    <w:rsid w:val="006A6B29"/>
    <w:rsid w:val="006B2BBE"/>
    <w:rsid w:val="006B3901"/>
    <w:rsid w:val="006B3AE7"/>
    <w:rsid w:val="006B46CD"/>
    <w:rsid w:val="006B61EB"/>
    <w:rsid w:val="006E05DC"/>
    <w:rsid w:val="006E7F57"/>
    <w:rsid w:val="006F1456"/>
    <w:rsid w:val="006F4912"/>
    <w:rsid w:val="00701400"/>
    <w:rsid w:val="007064A5"/>
    <w:rsid w:val="007114FF"/>
    <w:rsid w:val="007237ED"/>
    <w:rsid w:val="007309A0"/>
    <w:rsid w:val="00733C78"/>
    <w:rsid w:val="007432A0"/>
    <w:rsid w:val="00743AB8"/>
    <w:rsid w:val="007628EA"/>
    <w:rsid w:val="00765DAD"/>
    <w:rsid w:val="00766798"/>
    <w:rsid w:val="00767D44"/>
    <w:rsid w:val="007A1C70"/>
    <w:rsid w:val="007B50E3"/>
    <w:rsid w:val="007C1468"/>
    <w:rsid w:val="007C3046"/>
    <w:rsid w:val="007C5C6F"/>
    <w:rsid w:val="007D28B2"/>
    <w:rsid w:val="007D5B82"/>
    <w:rsid w:val="0080148E"/>
    <w:rsid w:val="008040E7"/>
    <w:rsid w:val="008235E3"/>
    <w:rsid w:val="008318ED"/>
    <w:rsid w:val="00832246"/>
    <w:rsid w:val="00834D64"/>
    <w:rsid w:val="008523A1"/>
    <w:rsid w:val="00870077"/>
    <w:rsid w:val="00883EA0"/>
    <w:rsid w:val="008916DB"/>
    <w:rsid w:val="00891BD2"/>
    <w:rsid w:val="008C0B1F"/>
    <w:rsid w:val="008F139D"/>
    <w:rsid w:val="00900138"/>
    <w:rsid w:val="00903103"/>
    <w:rsid w:val="00910BDA"/>
    <w:rsid w:val="0091512B"/>
    <w:rsid w:val="00922F5F"/>
    <w:rsid w:val="009372EC"/>
    <w:rsid w:val="00955247"/>
    <w:rsid w:val="009619E2"/>
    <w:rsid w:val="0098134A"/>
    <w:rsid w:val="00991D9C"/>
    <w:rsid w:val="009A3EC1"/>
    <w:rsid w:val="009A687A"/>
    <w:rsid w:val="009A77EC"/>
    <w:rsid w:val="009B2033"/>
    <w:rsid w:val="009B6E18"/>
    <w:rsid w:val="009C3816"/>
    <w:rsid w:val="009E1333"/>
    <w:rsid w:val="009E1823"/>
    <w:rsid w:val="00A07B05"/>
    <w:rsid w:val="00A12529"/>
    <w:rsid w:val="00A25E66"/>
    <w:rsid w:val="00A32BB1"/>
    <w:rsid w:val="00A477D0"/>
    <w:rsid w:val="00A57619"/>
    <w:rsid w:val="00A600B8"/>
    <w:rsid w:val="00A7577A"/>
    <w:rsid w:val="00A8122C"/>
    <w:rsid w:val="00A83628"/>
    <w:rsid w:val="00A910FE"/>
    <w:rsid w:val="00A96B45"/>
    <w:rsid w:val="00AB792B"/>
    <w:rsid w:val="00AC55F8"/>
    <w:rsid w:val="00AD0760"/>
    <w:rsid w:val="00AD0DBF"/>
    <w:rsid w:val="00AE1ECF"/>
    <w:rsid w:val="00AE3DE6"/>
    <w:rsid w:val="00AE4EAB"/>
    <w:rsid w:val="00AE59CD"/>
    <w:rsid w:val="00B004F6"/>
    <w:rsid w:val="00B05285"/>
    <w:rsid w:val="00B07D71"/>
    <w:rsid w:val="00B20E2F"/>
    <w:rsid w:val="00B25120"/>
    <w:rsid w:val="00B3421D"/>
    <w:rsid w:val="00B42221"/>
    <w:rsid w:val="00B4619D"/>
    <w:rsid w:val="00B57D68"/>
    <w:rsid w:val="00B60C3B"/>
    <w:rsid w:val="00B6761B"/>
    <w:rsid w:val="00B75C52"/>
    <w:rsid w:val="00B821F5"/>
    <w:rsid w:val="00B84AE0"/>
    <w:rsid w:val="00B8788D"/>
    <w:rsid w:val="00BB46B7"/>
    <w:rsid w:val="00BD4838"/>
    <w:rsid w:val="00BD5D61"/>
    <w:rsid w:val="00BE1C95"/>
    <w:rsid w:val="00BE31FC"/>
    <w:rsid w:val="00BF0177"/>
    <w:rsid w:val="00BF5494"/>
    <w:rsid w:val="00C0423A"/>
    <w:rsid w:val="00C13FE9"/>
    <w:rsid w:val="00C23AE8"/>
    <w:rsid w:val="00C34359"/>
    <w:rsid w:val="00C377FC"/>
    <w:rsid w:val="00C52F5D"/>
    <w:rsid w:val="00C65CD4"/>
    <w:rsid w:val="00C75C80"/>
    <w:rsid w:val="00C80771"/>
    <w:rsid w:val="00C87F6F"/>
    <w:rsid w:val="00C901F8"/>
    <w:rsid w:val="00CA2EB0"/>
    <w:rsid w:val="00CA35F9"/>
    <w:rsid w:val="00CA6A84"/>
    <w:rsid w:val="00CC0AA9"/>
    <w:rsid w:val="00CC4377"/>
    <w:rsid w:val="00CD162B"/>
    <w:rsid w:val="00CE2C9C"/>
    <w:rsid w:val="00CE34DF"/>
    <w:rsid w:val="00CF238D"/>
    <w:rsid w:val="00CF47BB"/>
    <w:rsid w:val="00D07D15"/>
    <w:rsid w:val="00D2194A"/>
    <w:rsid w:val="00D22573"/>
    <w:rsid w:val="00D27FC2"/>
    <w:rsid w:val="00D774F9"/>
    <w:rsid w:val="00DA04B9"/>
    <w:rsid w:val="00DA5092"/>
    <w:rsid w:val="00DC265C"/>
    <w:rsid w:val="00DC3030"/>
    <w:rsid w:val="00DC6928"/>
    <w:rsid w:val="00DD48CB"/>
    <w:rsid w:val="00DE098F"/>
    <w:rsid w:val="00DE194B"/>
    <w:rsid w:val="00DE6805"/>
    <w:rsid w:val="00DF0720"/>
    <w:rsid w:val="00E0486B"/>
    <w:rsid w:val="00E13B82"/>
    <w:rsid w:val="00E16BD7"/>
    <w:rsid w:val="00E27D3D"/>
    <w:rsid w:val="00E503B3"/>
    <w:rsid w:val="00E6789B"/>
    <w:rsid w:val="00E81115"/>
    <w:rsid w:val="00E81C7F"/>
    <w:rsid w:val="00E93A72"/>
    <w:rsid w:val="00E94172"/>
    <w:rsid w:val="00E94DB8"/>
    <w:rsid w:val="00EA1C3A"/>
    <w:rsid w:val="00EB28E7"/>
    <w:rsid w:val="00EC27F4"/>
    <w:rsid w:val="00ED3E4B"/>
    <w:rsid w:val="00EE2EF8"/>
    <w:rsid w:val="00EF5245"/>
    <w:rsid w:val="00F004A9"/>
    <w:rsid w:val="00F160C2"/>
    <w:rsid w:val="00F203C4"/>
    <w:rsid w:val="00F22820"/>
    <w:rsid w:val="00F2562D"/>
    <w:rsid w:val="00F34DCE"/>
    <w:rsid w:val="00F371C7"/>
    <w:rsid w:val="00F44B0B"/>
    <w:rsid w:val="00F504BE"/>
    <w:rsid w:val="00F548BC"/>
    <w:rsid w:val="00F61C90"/>
    <w:rsid w:val="00F67B0B"/>
    <w:rsid w:val="00FB2BEF"/>
    <w:rsid w:val="00FB4DD6"/>
    <w:rsid w:val="00FB5749"/>
    <w:rsid w:val="00FB788D"/>
    <w:rsid w:val="00FE5C23"/>
    <w:rsid w:val="00FF22C7"/>
    <w:rsid w:val="00FF23F9"/>
    <w:rsid w:val="00FF4D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A8BFB"/>
  <w15:docId w15:val="{E59CCBFE-B9A6-4A9C-A23D-03F12266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spacing w:after="1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049"/>
    <w:pPr>
      <w:widowControl w:val="0"/>
      <w:spacing w:line="276" w:lineRule="auto"/>
    </w:pPr>
  </w:style>
  <w:style w:type="paragraph" w:styleId="Heading1">
    <w:name w:val="heading 1"/>
    <w:basedOn w:val="Normal"/>
    <w:next w:val="Normal"/>
    <w:link w:val="Heading1Char"/>
    <w:uiPriority w:val="9"/>
    <w:qFormat/>
    <w:rsid w:val="00AE59CD"/>
    <w:pPr>
      <w:keepNext/>
      <w:keepLines/>
      <w:numPr>
        <w:numId w:val="31"/>
      </w:numPr>
      <w:pBdr>
        <w:top w:val="none" w:sz="0" w:space="0" w:color="auto"/>
        <w:left w:val="none" w:sz="0" w:space="0" w:color="auto"/>
        <w:bottom w:val="none" w:sz="0" w:space="0" w:color="auto"/>
        <w:right w:val="none" w:sz="0" w:space="0" w:color="auto"/>
        <w:between w:val="none" w:sz="0" w:space="0" w:color="auto"/>
      </w:pBdr>
      <w:spacing w:before="240" w:line="259" w:lineRule="auto"/>
      <w:ind w:left="720" w:hanging="720"/>
      <w:outlineLvl w:val="0"/>
    </w:pPr>
    <w:rPr>
      <w:rFonts w:eastAsiaTheme="majorEastAsia" w:cstheme="majorBidi"/>
      <w:color w:val="365F91" w:themeColor="accent1" w:themeShade="BF"/>
      <w:sz w:val="28"/>
      <w:szCs w:val="28"/>
      <w:lang w:val="en-US" w:eastAsia="zh-CN"/>
    </w:rPr>
  </w:style>
  <w:style w:type="paragraph" w:styleId="Heading2">
    <w:name w:val="heading 2"/>
    <w:basedOn w:val="Normal"/>
    <w:next w:val="Normal"/>
    <w:link w:val="Heading2Char"/>
    <w:uiPriority w:val="9"/>
    <w:qFormat/>
    <w:rsid w:val="00AE59CD"/>
    <w:pPr>
      <w:keepNext/>
      <w:keepLines/>
      <w:numPr>
        <w:ilvl w:val="1"/>
        <w:numId w:val="31"/>
      </w:numPr>
      <w:pBdr>
        <w:top w:val="none" w:sz="0" w:space="0" w:color="auto"/>
        <w:left w:val="none" w:sz="0" w:space="0" w:color="auto"/>
        <w:bottom w:val="none" w:sz="0" w:space="0" w:color="auto"/>
        <w:right w:val="none" w:sz="0" w:space="0" w:color="auto"/>
        <w:between w:val="none" w:sz="0" w:space="0" w:color="auto"/>
      </w:pBdr>
      <w:spacing w:before="240" w:line="259" w:lineRule="auto"/>
      <w:ind w:left="720" w:hanging="720"/>
      <w:outlineLvl w:val="1"/>
    </w:pPr>
    <w:rPr>
      <w:rFonts w:eastAsiaTheme="majorEastAsia" w:cstheme="majorBidi"/>
      <w:color w:val="365F91" w:themeColor="accent1" w:themeShade="BF"/>
      <w:sz w:val="26"/>
      <w:szCs w:val="26"/>
      <w:lang w:val="en-US" w:eastAsia="zh-CN"/>
    </w:rPr>
  </w:style>
  <w:style w:type="paragraph" w:styleId="Heading3">
    <w:name w:val="heading 3"/>
    <w:basedOn w:val="Normal"/>
    <w:next w:val="Normal"/>
    <w:pPr>
      <w:keepNext/>
      <w:keepLines/>
      <w:numPr>
        <w:ilvl w:val="2"/>
        <w:numId w:val="31"/>
      </w:numPr>
      <w:spacing w:before="200"/>
      <w:outlineLvl w:val="2"/>
    </w:pPr>
    <w:rPr>
      <w:b/>
      <w:color w:val="4F81BD"/>
    </w:rPr>
  </w:style>
  <w:style w:type="paragraph" w:styleId="Heading4">
    <w:name w:val="heading 4"/>
    <w:basedOn w:val="Normal"/>
    <w:next w:val="Normal"/>
    <w:pPr>
      <w:keepNext/>
      <w:keepLines/>
      <w:numPr>
        <w:ilvl w:val="3"/>
        <w:numId w:val="31"/>
      </w:numPr>
      <w:spacing w:before="200"/>
      <w:outlineLvl w:val="3"/>
    </w:pPr>
    <w:rPr>
      <w:b/>
      <w:i/>
      <w:color w:val="4F81BD"/>
    </w:rPr>
  </w:style>
  <w:style w:type="paragraph" w:styleId="Heading5">
    <w:name w:val="heading 5"/>
    <w:basedOn w:val="Normal"/>
    <w:next w:val="Normal"/>
    <w:pPr>
      <w:keepNext/>
      <w:keepLines/>
      <w:numPr>
        <w:ilvl w:val="4"/>
        <w:numId w:val="31"/>
      </w:numPr>
      <w:spacing w:before="200"/>
      <w:outlineLvl w:val="4"/>
    </w:pPr>
    <w:rPr>
      <w:b/>
      <w:color w:val="243F61"/>
      <w:sz w:val="26"/>
      <w:szCs w:val="26"/>
    </w:rPr>
  </w:style>
  <w:style w:type="paragraph" w:styleId="Heading6">
    <w:name w:val="heading 6"/>
    <w:basedOn w:val="Normal"/>
    <w:next w:val="Normal"/>
    <w:pPr>
      <w:keepNext/>
      <w:keepLines/>
      <w:numPr>
        <w:ilvl w:val="5"/>
        <w:numId w:val="31"/>
      </w:numPr>
      <w:spacing w:before="200"/>
      <w:outlineLvl w:val="5"/>
    </w:pPr>
    <w:rPr>
      <w:i/>
      <w:color w:val="243F61"/>
    </w:rPr>
  </w:style>
  <w:style w:type="paragraph" w:styleId="Heading7">
    <w:name w:val="heading 7"/>
    <w:basedOn w:val="Normal"/>
    <w:next w:val="Normal"/>
    <w:link w:val="Heading7Char"/>
    <w:uiPriority w:val="9"/>
    <w:semiHidden/>
    <w:unhideWhenUsed/>
    <w:qFormat/>
    <w:rsid w:val="00140B4A"/>
    <w:pPr>
      <w:keepNext/>
      <w:keepLines/>
      <w:numPr>
        <w:ilvl w:val="6"/>
        <w:numId w:val="3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40B4A"/>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0B4A"/>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color w:val="17365D"/>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pPr>
      <w:spacing w:after="0" w:line="240" w:lineRule="auto"/>
      <w:jc w:val="both"/>
    </w:pPr>
    <w:rPr>
      <w:rFonts w:ascii="Times New Roman" w:eastAsia="Times New Roman" w:hAnsi="Times New Roman" w:cs="Times New Roman"/>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3545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4578"/>
    <w:rPr>
      <w:rFonts w:ascii="Times New Roman" w:hAnsi="Times New Roman" w:cs="Times New Roman"/>
      <w:sz w:val="18"/>
      <w:szCs w:val="18"/>
    </w:rPr>
  </w:style>
  <w:style w:type="paragraph" w:styleId="NormalWeb">
    <w:name w:val="Normal (Web)"/>
    <w:basedOn w:val="Normal"/>
    <w:uiPriority w:val="99"/>
    <w:semiHidden/>
    <w:unhideWhenUsed/>
    <w:rsid w:val="00DC265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rPr>
  </w:style>
  <w:style w:type="character" w:customStyle="1" w:styleId="apple-converted-space">
    <w:name w:val="apple-converted-space"/>
    <w:basedOn w:val="DefaultParagraphFont"/>
    <w:rsid w:val="00DF0720"/>
  </w:style>
  <w:style w:type="character" w:styleId="CommentReference">
    <w:name w:val="annotation reference"/>
    <w:basedOn w:val="DefaultParagraphFont"/>
    <w:uiPriority w:val="99"/>
    <w:semiHidden/>
    <w:unhideWhenUsed/>
    <w:rsid w:val="00024BBE"/>
    <w:rPr>
      <w:sz w:val="16"/>
      <w:szCs w:val="16"/>
    </w:rPr>
  </w:style>
  <w:style w:type="paragraph" w:styleId="CommentText">
    <w:name w:val="annotation text"/>
    <w:basedOn w:val="Normal"/>
    <w:link w:val="CommentTextChar"/>
    <w:uiPriority w:val="99"/>
    <w:unhideWhenUsed/>
    <w:rsid w:val="00024BBE"/>
    <w:pPr>
      <w:spacing w:line="240" w:lineRule="auto"/>
    </w:pPr>
    <w:rPr>
      <w:sz w:val="20"/>
      <w:szCs w:val="20"/>
    </w:rPr>
  </w:style>
  <w:style w:type="character" w:customStyle="1" w:styleId="CommentTextChar">
    <w:name w:val="Comment Text Char"/>
    <w:basedOn w:val="DefaultParagraphFont"/>
    <w:link w:val="CommentText"/>
    <w:uiPriority w:val="99"/>
    <w:rsid w:val="00024BBE"/>
    <w:rPr>
      <w:sz w:val="20"/>
      <w:szCs w:val="20"/>
    </w:rPr>
  </w:style>
  <w:style w:type="paragraph" w:styleId="CommentSubject">
    <w:name w:val="annotation subject"/>
    <w:basedOn w:val="CommentText"/>
    <w:next w:val="CommentText"/>
    <w:link w:val="CommentSubjectChar"/>
    <w:uiPriority w:val="99"/>
    <w:semiHidden/>
    <w:unhideWhenUsed/>
    <w:rsid w:val="00024BBE"/>
    <w:rPr>
      <w:b/>
      <w:bCs/>
    </w:rPr>
  </w:style>
  <w:style w:type="character" w:customStyle="1" w:styleId="CommentSubjectChar">
    <w:name w:val="Comment Subject Char"/>
    <w:basedOn w:val="CommentTextChar"/>
    <w:link w:val="CommentSubject"/>
    <w:uiPriority w:val="99"/>
    <w:semiHidden/>
    <w:rsid w:val="00024BBE"/>
    <w:rPr>
      <w:b/>
      <w:bCs/>
      <w:sz w:val="20"/>
      <w:szCs w:val="20"/>
    </w:rPr>
  </w:style>
  <w:style w:type="paragraph" w:styleId="ListParagraph">
    <w:name w:val="List Paragraph"/>
    <w:basedOn w:val="Normal"/>
    <w:uiPriority w:val="34"/>
    <w:qFormat/>
    <w:rsid w:val="00406184"/>
    <w:pPr>
      <w:numPr>
        <w:numId w:val="2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heme="minorHAnsi" w:eastAsiaTheme="minorEastAsia" w:hAnsiTheme="minorHAnsi" w:cs="Calibri"/>
      <w:color w:val="auto"/>
      <w:sz w:val="22"/>
      <w:szCs w:val="22"/>
    </w:rPr>
  </w:style>
  <w:style w:type="paragraph" w:customStyle="1" w:styleId="bullettext">
    <w:name w:val="bullettext"/>
    <w:basedOn w:val="Normal"/>
    <w:rsid w:val="009A687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Calibri" w:eastAsiaTheme="minorEastAsia" w:hAnsi="Calibri" w:cs="Calibri"/>
      <w:color w:val="auto"/>
      <w:sz w:val="22"/>
      <w:szCs w:val="22"/>
    </w:rPr>
  </w:style>
  <w:style w:type="paragraph" w:styleId="Revision">
    <w:name w:val="Revision"/>
    <w:hidden/>
    <w:uiPriority w:val="99"/>
    <w:semiHidden/>
    <w:rsid w:val="00426315"/>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Heading1Char">
    <w:name w:val="Heading 1 Char"/>
    <w:basedOn w:val="DefaultParagraphFont"/>
    <w:link w:val="Heading1"/>
    <w:uiPriority w:val="9"/>
    <w:rsid w:val="00AE59CD"/>
    <w:rPr>
      <w:rFonts w:eastAsiaTheme="majorEastAsia" w:cstheme="majorBidi"/>
      <w:color w:val="365F91" w:themeColor="accent1" w:themeShade="BF"/>
      <w:sz w:val="28"/>
      <w:szCs w:val="28"/>
      <w:lang w:val="en-US" w:eastAsia="zh-CN"/>
    </w:rPr>
  </w:style>
  <w:style w:type="table" w:customStyle="1" w:styleId="GridTable2-Accent11">
    <w:name w:val="Grid Table 2 - Accent 11"/>
    <w:basedOn w:val="TableNormal"/>
    <w:uiPriority w:val="47"/>
    <w:rsid w:val="00A5761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A57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619"/>
  </w:style>
  <w:style w:type="paragraph" w:styleId="Footer">
    <w:name w:val="footer"/>
    <w:basedOn w:val="Normal"/>
    <w:link w:val="FooterChar"/>
    <w:uiPriority w:val="99"/>
    <w:unhideWhenUsed/>
    <w:rsid w:val="00A57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619"/>
  </w:style>
  <w:style w:type="character" w:customStyle="1" w:styleId="Heading2Char">
    <w:name w:val="Heading 2 Char"/>
    <w:basedOn w:val="DefaultParagraphFont"/>
    <w:link w:val="Heading2"/>
    <w:uiPriority w:val="9"/>
    <w:rsid w:val="00AE59CD"/>
    <w:rPr>
      <w:rFonts w:eastAsiaTheme="majorEastAsia" w:cstheme="majorBidi"/>
      <w:color w:val="365F91" w:themeColor="accent1" w:themeShade="BF"/>
      <w:sz w:val="26"/>
      <w:szCs w:val="26"/>
      <w:lang w:val="en-US" w:eastAsia="zh-CN"/>
    </w:rPr>
  </w:style>
  <w:style w:type="paragraph" w:styleId="Caption">
    <w:name w:val="caption"/>
    <w:basedOn w:val="Normal"/>
    <w:next w:val="Normal"/>
    <w:uiPriority w:val="35"/>
    <w:unhideWhenUsed/>
    <w:qFormat/>
    <w:rsid w:val="00BF0177"/>
    <w:pPr>
      <w:spacing w:after="200" w:line="240" w:lineRule="auto"/>
    </w:pPr>
    <w:rPr>
      <w:iCs/>
      <w:color w:val="548DD4" w:themeColor="text2" w:themeTint="99"/>
      <w:sz w:val="22"/>
      <w:szCs w:val="22"/>
    </w:rPr>
  </w:style>
  <w:style w:type="table" w:styleId="TableGrid">
    <w:name w:val="Table Grid"/>
    <w:basedOn w:val="TableNormal"/>
    <w:uiPriority w:val="39"/>
    <w:rsid w:val="00BF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Text"/>
    <w:basedOn w:val="Normal"/>
    <w:link w:val="BoxTextChar"/>
    <w:qFormat/>
    <w:rsid w:val="00BF0177"/>
    <w:pPr>
      <w:spacing w:after="0" w:line="240" w:lineRule="auto"/>
      <w:textDirection w:val="btLr"/>
    </w:pPr>
    <w:rPr>
      <w:rFonts w:asciiTheme="minorHAnsi" w:eastAsia="Calibri" w:hAnsiTheme="minorHAnsi" w:cs="Calibri"/>
      <w:sz w:val="20"/>
      <w:szCs w:val="20"/>
    </w:rPr>
  </w:style>
  <w:style w:type="character" w:customStyle="1" w:styleId="BoxTextChar">
    <w:name w:val="BoxText Char"/>
    <w:basedOn w:val="DefaultParagraphFont"/>
    <w:link w:val="BoxText"/>
    <w:rsid w:val="00BF0177"/>
    <w:rPr>
      <w:rFonts w:asciiTheme="minorHAnsi" w:eastAsia="Calibri" w:hAnsiTheme="minorHAnsi" w:cs="Calibri"/>
      <w:sz w:val="20"/>
      <w:szCs w:val="20"/>
    </w:rPr>
  </w:style>
  <w:style w:type="paragraph" w:styleId="TOC2">
    <w:name w:val="toc 2"/>
    <w:basedOn w:val="Normal"/>
    <w:next w:val="Normal"/>
    <w:autoRedefine/>
    <w:uiPriority w:val="39"/>
    <w:unhideWhenUsed/>
    <w:rsid w:val="00B75C52"/>
    <w:pPr>
      <w:tabs>
        <w:tab w:val="left" w:pos="880"/>
        <w:tab w:val="right" w:leader="dot" w:pos="9017"/>
      </w:tabs>
      <w:spacing w:after="100" w:line="240" w:lineRule="auto"/>
      <w:ind w:left="240"/>
    </w:pPr>
  </w:style>
  <w:style w:type="paragraph" w:styleId="TOC1">
    <w:name w:val="toc 1"/>
    <w:basedOn w:val="Normal"/>
    <w:next w:val="Normal"/>
    <w:autoRedefine/>
    <w:uiPriority w:val="39"/>
    <w:unhideWhenUsed/>
    <w:rsid w:val="00AD0DBF"/>
    <w:pPr>
      <w:spacing w:after="100"/>
    </w:pPr>
  </w:style>
  <w:style w:type="character" w:styleId="Hyperlink">
    <w:name w:val="Hyperlink"/>
    <w:basedOn w:val="DefaultParagraphFont"/>
    <w:uiPriority w:val="99"/>
    <w:unhideWhenUsed/>
    <w:rsid w:val="00AD0DBF"/>
    <w:rPr>
      <w:color w:val="0000FF" w:themeColor="hyperlink"/>
      <w:u w:val="single"/>
    </w:rPr>
  </w:style>
  <w:style w:type="paragraph" w:customStyle="1" w:styleId="TableText">
    <w:name w:val="TableText"/>
    <w:basedOn w:val="Normal"/>
    <w:link w:val="TableTextChar"/>
    <w:qFormat/>
    <w:rsid w:val="00AD0DBF"/>
    <w:pPr>
      <w:spacing w:after="0" w:line="240" w:lineRule="auto"/>
    </w:pPr>
    <w:rPr>
      <w:rFonts w:asciiTheme="majorHAnsi" w:hAnsiTheme="majorHAnsi"/>
      <w:b/>
      <w:bCs/>
      <w:sz w:val="16"/>
      <w:szCs w:val="16"/>
    </w:rPr>
  </w:style>
  <w:style w:type="character" w:customStyle="1" w:styleId="TableTextChar">
    <w:name w:val="TableText Char"/>
    <w:basedOn w:val="DefaultParagraphFont"/>
    <w:link w:val="TableText"/>
    <w:rsid w:val="00AD0DBF"/>
    <w:rPr>
      <w:rFonts w:asciiTheme="majorHAnsi" w:hAnsiTheme="majorHAnsi"/>
      <w:b/>
      <w:bCs/>
      <w:sz w:val="16"/>
      <w:szCs w:val="16"/>
    </w:rPr>
  </w:style>
  <w:style w:type="character" w:styleId="LineNumber">
    <w:name w:val="line number"/>
    <w:basedOn w:val="DefaultParagraphFont"/>
    <w:uiPriority w:val="99"/>
    <w:semiHidden/>
    <w:unhideWhenUsed/>
    <w:rsid w:val="00CA6A84"/>
  </w:style>
  <w:style w:type="paragraph" w:styleId="FootnoteText">
    <w:name w:val="footnote text"/>
    <w:basedOn w:val="Normal"/>
    <w:link w:val="FootnoteTextChar"/>
    <w:uiPriority w:val="99"/>
    <w:unhideWhenUsed/>
    <w:rsid w:val="00566049"/>
    <w:pPr>
      <w:spacing w:after="0" w:line="240" w:lineRule="auto"/>
    </w:pPr>
    <w:rPr>
      <w:sz w:val="20"/>
      <w:szCs w:val="20"/>
    </w:rPr>
  </w:style>
  <w:style w:type="character" w:customStyle="1" w:styleId="FootnoteTextChar">
    <w:name w:val="Footnote Text Char"/>
    <w:basedOn w:val="DefaultParagraphFont"/>
    <w:link w:val="FootnoteText"/>
    <w:uiPriority w:val="99"/>
    <w:rsid w:val="00566049"/>
    <w:rPr>
      <w:sz w:val="20"/>
      <w:szCs w:val="20"/>
    </w:rPr>
  </w:style>
  <w:style w:type="character" w:styleId="FootnoteReference">
    <w:name w:val="footnote reference"/>
    <w:basedOn w:val="DefaultParagraphFont"/>
    <w:uiPriority w:val="99"/>
    <w:semiHidden/>
    <w:unhideWhenUsed/>
    <w:rsid w:val="00566049"/>
    <w:rPr>
      <w:vertAlign w:val="superscript"/>
    </w:rPr>
  </w:style>
  <w:style w:type="paragraph" w:customStyle="1" w:styleId="RefText">
    <w:name w:val="RefText"/>
    <w:basedOn w:val="Normal"/>
    <w:qFormat/>
    <w:rsid w:val="00406184"/>
    <w:pPr>
      <w:spacing w:after="0" w:line="240" w:lineRule="auto"/>
    </w:pPr>
    <w:rPr>
      <w:rFonts w:asciiTheme="majorHAnsi" w:hAnsiTheme="majorHAnsi"/>
      <w:sz w:val="20"/>
      <w:szCs w:val="20"/>
    </w:rPr>
  </w:style>
  <w:style w:type="character" w:customStyle="1" w:styleId="UnresolvedMention1">
    <w:name w:val="Unresolved Mention1"/>
    <w:basedOn w:val="DefaultParagraphFont"/>
    <w:uiPriority w:val="99"/>
    <w:semiHidden/>
    <w:unhideWhenUsed/>
    <w:rsid w:val="00B42221"/>
    <w:rPr>
      <w:color w:val="605E5C"/>
      <w:shd w:val="clear" w:color="auto" w:fill="E1DFDD"/>
    </w:rPr>
  </w:style>
  <w:style w:type="character" w:styleId="FollowedHyperlink">
    <w:name w:val="FollowedHyperlink"/>
    <w:basedOn w:val="DefaultParagraphFont"/>
    <w:uiPriority w:val="99"/>
    <w:semiHidden/>
    <w:unhideWhenUsed/>
    <w:rsid w:val="00B42221"/>
    <w:rPr>
      <w:color w:val="800080" w:themeColor="followedHyperlink"/>
      <w:u w:val="single"/>
    </w:rPr>
  </w:style>
  <w:style w:type="character" w:customStyle="1" w:styleId="Heading7Char">
    <w:name w:val="Heading 7 Char"/>
    <w:basedOn w:val="DefaultParagraphFont"/>
    <w:link w:val="Heading7"/>
    <w:uiPriority w:val="9"/>
    <w:semiHidden/>
    <w:rsid w:val="00140B4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40B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0B4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8654">
      <w:bodyDiv w:val="1"/>
      <w:marLeft w:val="0"/>
      <w:marRight w:val="0"/>
      <w:marTop w:val="0"/>
      <w:marBottom w:val="0"/>
      <w:divBdr>
        <w:top w:val="none" w:sz="0" w:space="0" w:color="auto"/>
        <w:left w:val="none" w:sz="0" w:space="0" w:color="auto"/>
        <w:bottom w:val="none" w:sz="0" w:space="0" w:color="auto"/>
        <w:right w:val="none" w:sz="0" w:space="0" w:color="auto"/>
      </w:divBdr>
    </w:div>
    <w:div w:id="346906591">
      <w:bodyDiv w:val="1"/>
      <w:marLeft w:val="0"/>
      <w:marRight w:val="0"/>
      <w:marTop w:val="0"/>
      <w:marBottom w:val="0"/>
      <w:divBdr>
        <w:top w:val="none" w:sz="0" w:space="0" w:color="auto"/>
        <w:left w:val="none" w:sz="0" w:space="0" w:color="auto"/>
        <w:bottom w:val="none" w:sz="0" w:space="0" w:color="auto"/>
        <w:right w:val="none" w:sz="0" w:space="0" w:color="auto"/>
      </w:divBdr>
    </w:div>
    <w:div w:id="889072018">
      <w:bodyDiv w:val="1"/>
      <w:marLeft w:val="0"/>
      <w:marRight w:val="0"/>
      <w:marTop w:val="0"/>
      <w:marBottom w:val="0"/>
      <w:divBdr>
        <w:top w:val="none" w:sz="0" w:space="0" w:color="auto"/>
        <w:left w:val="none" w:sz="0" w:space="0" w:color="auto"/>
        <w:bottom w:val="none" w:sz="0" w:space="0" w:color="auto"/>
        <w:right w:val="none" w:sz="0" w:space="0" w:color="auto"/>
      </w:divBdr>
      <w:divsChild>
        <w:div w:id="767309612">
          <w:marLeft w:val="0"/>
          <w:marRight w:val="0"/>
          <w:marTop w:val="0"/>
          <w:marBottom w:val="0"/>
          <w:divBdr>
            <w:top w:val="none" w:sz="0" w:space="0" w:color="auto"/>
            <w:left w:val="none" w:sz="0" w:space="0" w:color="auto"/>
            <w:bottom w:val="none" w:sz="0" w:space="0" w:color="auto"/>
            <w:right w:val="none" w:sz="0" w:space="0" w:color="auto"/>
          </w:divBdr>
          <w:divsChild>
            <w:div w:id="1835796942">
              <w:marLeft w:val="0"/>
              <w:marRight w:val="0"/>
              <w:marTop w:val="0"/>
              <w:marBottom w:val="0"/>
              <w:divBdr>
                <w:top w:val="none" w:sz="0" w:space="0" w:color="auto"/>
                <w:left w:val="none" w:sz="0" w:space="0" w:color="auto"/>
                <w:bottom w:val="none" w:sz="0" w:space="0" w:color="auto"/>
                <w:right w:val="none" w:sz="0" w:space="0" w:color="auto"/>
              </w:divBdr>
              <w:divsChild>
                <w:div w:id="16837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5071">
      <w:bodyDiv w:val="1"/>
      <w:marLeft w:val="0"/>
      <w:marRight w:val="0"/>
      <w:marTop w:val="0"/>
      <w:marBottom w:val="0"/>
      <w:divBdr>
        <w:top w:val="none" w:sz="0" w:space="0" w:color="auto"/>
        <w:left w:val="none" w:sz="0" w:space="0" w:color="auto"/>
        <w:bottom w:val="none" w:sz="0" w:space="0" w:color="auto"/>
        <w:right w:val="none" w:sz="0" w:space="0" w:color="auto"/>
      </w:divBdr>
    </w:div>
    <w:div w:id="1385257945">
      <w:bodyDiv w:val="1"/>
      <w:marLeft w:val="0"/>
      <w:marRight w:val="0"/>
      <w:marTop w:val="0"/>
      <w:marBottom w:val="0"/>
      <w:divBdr>
        <w:top w:val="none" w:sz="0" w:space="0" w:color="auto"/>
        <w:left w:val="none" w:sz="0" w:space="0" w:color="auto"/>
        <w:bottom w:val="none" w:sz="0" w:space="0" w:color="auto"/>
        <w:right w:val="none" w:sz="0" w:space="0" w:color="auto"/>
      </w:divBdr>
    </w:div>
    <w:div w:id="1539273373">
      <w:bodyDiv w:val="1"/>
      <w:marLeft w:val="0"/>
      <w:marRight w:val="0"/>
      <w:marTop w:val="0"/>
      <w:marBottom w:val="0"/>
      <w:divBdr>
        <w:top w:val="none" w:sz="0" w:space="0" w:color="auto"/>
        <w:left w:val="none" w:sz="0" w:space="0" w:color="auto"/>
        <w:bottom w:val="none" w:sz="0" w:space="0" w:color="auto"/>
        <w:right w:val="none" w:sz="0" w:space="0" w:color="auto"/>
      </w:divBdr>
    </w:div>
    <w:div w:id="1652252888">
      <w:bodyDiv w:val="1"/>
      <w:marLeft w:val="0"/>
      <w:marRight w:val="0"/>
      <w:marTop w:val="0"/>
      <w:marBottom w:val="0"/>
      <w:divBdr>
        <w:top w:val="none" w:sz="0" w:space="0" w:color="auto"/>
        <w:left w:val="none" w:sz="0" w:space="0" w:color="auto"/>
        <w:bottom w:val="none" w:sz="0" w:space="0" w:color="auto"/>
        <w:right w:val="none" w:sz="0" w:space="0" w:color="auto"/>
      </w:divBdr>
      <w:divsChild>
        <w:div w:id="1098209716">
          <w:marLeft w:val="0"/>
          <w:marRight w:val="0"/>
          <w:marTop w:val="0"/>
          <w:marBottom w:val="0"/>
          <w:divBdr>
            <w:top w:val="none" w:sz="0" w:space="0" w:color="auto"/>
            <w:left w:val="none" w:sz="0" w:space="0" w:color="auto"/>
            <w:bottom w:val="none" w:sz="0" w:space="0" w:color="auto"/>
            <w:right w:val="none" w:sz="0" w:space="0" w:color="auto"/>
          </w:divBdr>
          <w:divsChild>
            <w:div w:id="686248293">
              <w:marLeft w:val="0"/>
              <w:marRight w:val="0"/>
              <w:marTop w:val="0"/>
              <w:marBottom w:val="0"/>
              <w:divBdr>
                <w:top w:val="none" w:sz="0" w:space="0" w:color="auto"/>
                <w:left w:val="none" w:sz="0" w:space="0" w:color="auto"/>
                <w:bottom w:val="none" w:sz="0" w:space="0" w:color="auto"/>
                <w:right w:val="none" w:sz="0" w:space="0" w:color="auto"/>
              </w:divBdr>
              <w:divsChild>
                <w:div w:id="9421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05997">
      <w:bodyDiv w:val="1"/>
      <w:marLeft w:val="0"/>
      <w:marRight w:val="0"/>
      <w:marTop w:val="0"/>
      <w:marBottom w:val="0"/>
      <w:divBdr>
        <w:top w:val="none" w:sz="0" w:space="0" w:color="auto"/>
        <w:left w:val="none" w:sz="0" w:space="0" w:color="auto"/>
        <w:bottom w:val="none" w:sz="0" w:space="0" w:color="auto"/>
        <w:right w:val="none" w:sz="0" w:space="0" w:color="auto"/>
      </w:divBdr>
      <w:divsChild>
        <w:div w:id="923221586">
          <w:marLeft w:val="0"/>
          <w:marRight w:val="0"/>
          <w:marTop w:val="0"/>
          <w:marBottom w:val="0"/>
          <w:divBdr>
            <w:top w:val="none" w:sz="0" w:space="0" w:color="auto"/>
            <w:left w:val="none" w:sz="0" w:space="0" w:color="auto"/>
            <w:bottom w:val="none" w:sz="0" w:space="0" w:color="auto"/>
            <w:right w:val="none" w:sz="0" w:space="0" w:color="auto"/>
          </w:divBdr>
          <w:divsChild>
            <w:div w:id="883831980">
              <w:marLeft w:val="0"/>
              <w:marRight w:val="0"/>
              <w:marTop w:val="0"/>
              <w:marBottom w:val="0"/>
              <w:divBdr>
                <w:top w:val="none" w:sz="0" w:space="0" w:color="auto"/>
                <w:left w:val="none" w:sz="0" w:space="0" w:color="auto"/>
                <w:bottom w:val="none" w:sz="0" w:space="0" w:color="auto"/>
                <w:right w:val="none" w:sz="0" w:space="0" w:color="auto"/>
              </w:divBdr>
              <w:divsChild>
                <w:div w:id="11860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1045">
      <w:bodyDiv w:val="1"/>
      <w:marLeft w:val="0"/>
      <w:marRight w:val="0"/>
      <w:marTop w:val="0"/>
      <w:marBottom w:val="0"/>
      <w:divBdr>
        <w:top w:val="none" w:sz="0" w:space="0" w:color="auto"/>
        <w:left w:val="none" w:sz="0" w:space="0" w:color="auto"/>
        <w:bottom w:val="none" w:sz="0" w:space="0" w:color="auto"/>
        <w:right w:val="none" w:sz="0" w:space="0" w:color="auto"/>
      </w:divBdr>
    </w:div>
    <w:div w:id="2052344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1356389007082129" TargetMode="External"/><Relationship Id="rId18" Type="http://schemas.openxmlformats.org/officeDocument/2006/relationships/hyperlink" Target="https://www.eea.europa.eu/publications/perspectives-on-transitions-to-sustainability/at_download/file" TargetMode="External"/><Relationship Id="rId26" Type="http://schemas.openxmlformats.org/officeDocument/2006/relationships/hyperlink" Target="https://doi.org/10.1016/J.EIST.2014.04.002" TargetMode="External"/><Relationship Id="rId39" Type="http://schemas.openxmlformats.org/officeDocument/2006/relationships/hyperlink" Target="https://www.oecd-ilibrary.org/aligning-policies-for-a-low-carbon-economy_5js4lch2tsjj.pdf?itemId=%2Fcontent%2Fpublication%2F9789264233294-en&amp;mimeType=pdf" TargetMode="External"/><Relationship Id="rId21" Type="http://schemas.openxmlformats.org/officeDocument/2006/relationships/hyperlink" Target="https://doi.org/10.1016/J.ECOLECON.2005.11.019" TargetMode="External"/><Relationship Id="rId34" Type="http://schemas.openxmlformats.org/officeDocument/2006/relationships/hyperlink" Target="http://www.g20-insights.org/wp-content/uploads/2017/03/TF_2030_Agenda_PolicyCoherence.pdf" TargetMode="External"/><Relationship Id="rId42" Type="http://schemas.openxmlformats.org/officeDocument/2006/relationships/hyperlink" Target="https://doi.org/10.1017/S0143814X00003846" TargetMode="External"/><Relationship Id="rId47" Type="http://schemas.openxmlformats.org/officeDocument/2006/relationships/hyperlink" Target="http://wedocs.unep.org/bitstream/handle/20.500.11822/7116/11_Use_of_Theory_of_Change_in_Project_Evaluation_26.10.17.pdf?sequence=6&amp;isAllowed=y"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ea.europa.eu/publications/rem" TargetMode="External"/><Relationship Id="rId29" Type="http://schemas.openxmlformats.org/officeDocument/2006/relationships/hyperlink" Target="https://doi.org/10.1080/09644016.2014.923614" TargetMode="External"/><Relationship Id="rId11" Type="http://schemas.openxmlformats.org/officeDocument/2006/relationships/image" Target="media/image2.png"/><Relationship Id="rId24" Type="http://schemas.openxmlformats.org/officeDocument/2006/relationships/hyperlink" Target="https://doi.org/10.1057/palcomms.2016.20" TargetMode="External"/><Relationship Id="rId32" Type="http://schemas.openxmlformats.org/officeDocument/2006/relationships/hyperlink" Target="https://www.routledge.com/Participation-for-Effective-Environmental-Governance-Evidence-from-European/Kochskamper-Challies-Jager-Newig/p/book/9781138713291" TargetMode="External"/><Relationship Id="rId37" Type="http://schemas.openxmlformats.org/officeDocument/2006/relationships/hyperlink" Target="https://doi.org/10.1111/j.1541-0072.2012.00445.x" TargetMode="External"/><Relationship Id="rId40" Type="http://schemas.openxmlformats.org/officeDocument/2006/relationships/hyperlink" Target="https://unfccc.int/files/meetings/workshops/other_meetings/application/pdf/perrels.pdf" TargetMode="External"/><Relationship Id="rId45" Type="http://schemas.openxmlformats.org/officeDocument/2006/relationships/hyperlink" Target="https://wedocs.unep.org/bitstream/handle/20.500.11822/7646/-Global%20Environment%20Outlook%20%204%20(GEO-4)-2007768.pdf?isAllowed=y&amp;sequence=3" TargetMode="External"/><Relationship Id="rId5" Type="http://schemas.openxmlformats.org/officeDocument/2006/relationships/webSettings" Target="webSettings.xml"/><Relationship Id="rId15" Type="http://schemas.openxmlformats.org/officeDocument/2006/relationships/hyperlink" Target="https://doi.org/10.1080/14494035.2017.1320854" TargetMode="External"/><Relationship Id="rId23" Type="http://schemas.openxmlformats.org/officeDocument/2006/relationships/hyperlink" Target="https://www.iea.org/publications/freepublications/publication/Summing_Up.pdf" TargetMode="External"/><Relationship Id="rId28" Type="http://schemas.openxmlformats.org/officeDocument/2006/relationships/hyperlink" Target="https://link.springer.com/chapter/10.1007/978-3-662-12069-9_7" TargetMode="External"/><Relationship Id="rId36" Type="http://schemas.openxmlformats.org/officeDocument/2006/relationships/hyperlink" Target="https://doi.org/10.1016/j.ecolind.2011.04.033" TargetMode="External"/><Relationship Id="rId49" Type="http://schemas.openxmlformats.org/officeDocument/2006/relationships/hyperlink" Target="http://www.airies.or.jp/attach.php/6a6f75726e616c5f476c6f62616c456e7669726f6e6d656e74616c52657365617263685f6736737748764e6a/save/0/0/19_2-13.pdf" TargetMode="External"/><Relationship Id="rId10" Type="http://schemas.openxmlformats.org/officeDocument/2006/relationships/image" Target="media/image1.png"/><Relationship Id="rId19" Type="http://schemas.openxmlformats.org/officeDocument/2006/relationships/hyperlink" Target="https://www.routledge.com/Evaluating-the-Complex-Attribution-Contribution-and-Beyond/Marra/p/book/9781138509832" TargetMode="External"/><Relationship Id="rId31" Type="http://schemas.openxmlformats.org/officeDocument/2006/relationships/hyperlink" Target="https://doi.org/10.1016/j.respol.2015.09.008" TargetMode="External"/><Relationship Id="rId44" Type="http://schemas.openxmlformats.org/officeDocument/2006/relationships/hyperlink" Target="http://unpan1.un.org/intradoc/groups/public/documents/un/unpan022332.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nk.springer.com/book/10.1007/978-1-4020-9158-2" TargetMode="External"/><Relationship Id="rId22" Type="http://schemas.openxmlformats.org/officeDocument/2006/relationships/hyperlink" Target="https://doi.org/10.1080/09644016.2014.924205" TargetMode="External"/><Relationship Id="rId27" Type="http://schemas.openxmlformats.org/officeDocument/2006/relationships/hyperlink" Target="http://citeseerx.ist.psu.edu/viewdoc/download?doi=10.1.1.664.6369&amp;rep=rep1&amp;type=pdf" TargetMode="External"/><Relationship Id="rId30" Type="http://schemas.openxmlformats.org/officeDocument/2006/relationships/hyperlink" Target="https://doi.org/10.3390/cli4010007" TargetMode="External"/><Relationship Id="rId35" Type="http://schemas.openxmlformats.org/officeDocument/2006/relationships/hyperlink" Target="https://doi.org/10.1080/1523908X.2017.1299623" TargetMode="External"/><Relationship Id="rId43" Type="http://schemas.openxmlformats.org/officeDocument/2006/relationships/hyperlink" Target="https://doi.org/10.1093/oep/gpw062" TargetMode="External"/><Relationship Id="rId48" Type="http://schemas.openxmlformats.org/officeDocument/2006/relationships/hyperlink" Target="https://doi.org/10.1007/s10551-015-2756-4" TargetMode="Externa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1016/j.ecolind.2011.05.013" TargetMode="External"/><Relationship Id="rId17" Type="http://schemas.openxmlformats.org/officeDocument/2006/relationships/hyperlink" Target="https://www.eea.europa.eu/publications/rem/defining.pdf" TargetMode="External"/><Relationship Id="rId25" Type="http://schemas.openxmlformats.org/officeDocument/2006/relationships/hyperlink" Target="https://doi.org/10.1016/S1449-4035(07)70118-2" TargetMode="External"/><Relationship Id="rId33" Type="http://schemas.openxmlformats.org/officeDocument/2006/relationships/hyperlink" Target="https://doi.org/10.1016/j.gloenvcha.2014.06.007" TargetMode="External"/><Relationship Id="rId38" Type="http://schemas.openxmlformats.org/officeDocument/2006/relationships/hyperlink" Target="http://dx.doi.org/10.1787/9789264256996-en" TargetMode="External"/><Relationship Id="rId46" Type="http://schemas.openxmlformats.org/officeDocument/2006/relationships/hyperlink" Target="http://wedocs.unep.org/bitstream/handle/20.500.11822/8021/GEO5_report_full_en.pdf?sequence=5&amp;isAllowed=y" TargetMode="External"/><Relationship Id="rId20" Type="http://schemas.openxmlformats.org/officeDocument/2006/relationships/hyperlink" Target="https://doi.org/10.1016/j.geoforum.2004.07.007" TargetMode="External"/><Relationship Id="rId41" Type="http://schemas.openxmlformats.org/officeDocument/2006/relationships/hyperlink" Target="https://doi.org/10.1002/ev.22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DF689-9918-4FEA-9231-5194B5DE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7014</Words>
  <Characters>39982</Characters>
  <Application>Microsoft Office Word</Application>
  <DocSecurity>0</DocSecurity>
  <Lines>333</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King</dc:creator>
  <cp:lastModifiedBy>Yunting Duan</cp:lastModifiedBy>
  <cp:revision>3</cp:revision>
  <cp:lastPrinted>2018-04-17T14:33:00Z</cp:lastPrinted>
  <dcterms:created xsi:type="dcterms:W3CDTF">2018-11-12T05:53:00Z</dcterms:created>
  <dcterms:modified xsi:type="dcterms:W3CDTF">2018-11-12T06:13:00Z</dcterms:modified>
</cp:coreProperties>
</file>